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Y="-729"/>
        <w:tblOverlap w:val="never"/>
        <w:tblW w:w="11224" w:type="dxa"/>
        <w:tblInd w:w="0" w:type="dxa"/>
        <w:tblCellMar>
          <w:top w:w="52" w:type="dxa"/>
          <w:left w:w="0" w:type="dxa"/>
          <w:bottom w:w="0" w:type="dxa"/>
          <w:right w:w="0" w:type="dxa"/>
        </w:tblCellMar>
        <w:tblLook w:val="04A0" w:firstRow="1" w:lastRow="0" w:firstColumn="1" w:lastColumn="0" w:noHBand="0" w:noVBand="1"/>
      </w:tblPr>
      <w:tblGrid>
        <w:gridCol w:w="4488"/>
        <w:gridCol w:w="6736"/>
      </w:tblGrid>
      <w:tr w:rsidR="001E30AC" w14:paraId="37CA9D73" w14:textId="77777777">
        <w:trPr>
          <w:trHeight w:val="840"/>
        </w:trPr>
        <w:tc>
          <w:tcPr>
            <w:tcW w:w="4488" w:type="dxa"/>
            <w:tcBorders>
              <w:top w:val="nil"/>
              <w:left w:val="nil"/>
              <w:bottom w:val="nil"/>
              <w:right w:val="nil"/>
            </w:tcBorders>
          </w:tcPr>
          <w:p w14:paraId="0328BA2B" w14:textId="77777777" w:rsidR="001E30AC" w:rsidRDefault="00000000">
            <w:pPr>
              <w:spacing w:after="0" w:line="259" w:lineRule="auto"/>
              <w:ind w:left="0" w:right="0" w:firstLine="0"/>
              <w:jc w:val="left"/>
            </w:pPr>
            <w:r>
              <w:rPr>
                <w:rFonts w:ascii="Arial" w:eastAsia="Arial" w:hAnsi="Arial" w:cs="Arial"/>
                <w:b/>
                <w:sz w:val="28"/>
              </w:rPr>
              <w:t>Equal Employment</w:t>
            </w:r>
          </w:p>
          <w:p w14:paraId="4C7AC64F" w14:textId="77777777" w:rsidR="001E30AC" w:rsidRDefault="00000000">
            <w:pPr>
              <w:spacing w:after="0" w:line="259" w:lineRule="auto"/>
              <w:ind w:left="0" w:right="0" w:firstLine="0"/>
              <w:jc w:val="left"/>
            </w:pPr>
            <w:r>
              <w:rPr>
                <w:rFonts w:ascii="Arial" w:eastAsia="Arial" w:hAnsi="Arial" w:cs="Arial"/>
                <w:b/>
                <w:sz w:val="28"/>
              </w:rPr>
              <w:t>Opportunity Certification</w:t>
            </w:r>
          </w:p>
        </w:tc>
        <w:tc>
          <w:tcPr>
            <w:tcW w:w="6736" w:type="dxa"/>
            <w:tcBorders>
              <w:top w:val="nil"/>
              <w:left w:val="nil"/>
              <w:bottom w:val="nil"/>
              <w:right w:val="nil"/>
            </w:tcBorders>
          </w:tcPr>
          <w:p w14:paraId="1D169181" w14:textId="77777777" w:rsidR="001E30AC" w:rsidRDefault="00000000">
            <w:pPr>
              <w:spacing w:after="0" w:line="301" w:lineRule="auto"/>
              <w:ind w:left="0" w:right="0" w:firstLine="0"/>
              <w:jc w:val="left"/>
            </w:pPr>
            <w:r>
              <w:rPr>
                <w:rFonts w:ascii="Arial" w:eastAsia="Arial" w:hAnsi="Arial" w:cs="Arial"/>
                <w:b/>
                <w:sz w:val="18"/>
              </w:rPr>
              <w:t>U.S. Department of Housing</w:t>
            </w:r>
            <w:r>
              <w:rPr>
                <w:rFonts w:ascii="Arial" w:eastAsia="Arial" w:hAnsi="Arial" w:cs="Arial"/>
                <w:b/>
                <w:sz w:val="18"/>
              </w:rPr>
              <w:tab/>
              <w:t xml:space="preserve">Department of Veterans Affairs and Urban Development                                 </w:t>
            </w:r>
          </w:p>
          <w:p w14:paraId="05D8D350" w14:textId="77777777" w:rsidR="001E30AC" w:rsidRDefault="00000000">
            <w:pPr>
              <w:spacing w:after="5" w:line="259" w:lineRule="auto"/>
              <w:ind w:left="0" w:right="0" w:firstLine="0"/>
              <w:jc w:val="left"/>
            </w:pPr>
            <w:r>
              <w:rPr>
                <w:rFonts w:ascii="Arial" w:eastAsia="Arial" w:hAnsi="Arial" w:cs="Arial"/>
                <w:sz w:val="18"/>
              </w:rPr>
              <w:t>Office of Housing                                                   OMB Control No. 2502-0029</w:t>
            </w:r>
          </w:p>
          <w:p w14:paraId="6A2F688B" w14:textId="77777777" w:rsidR="001E30AC" w:rsidRDefault="00000000">
            <w:pPr>
              <w:spacing w:after="0" w:line="259" w:lineRule="auto"/>
              <w:ind w:left="0" w:right="0" w:firstLine="0"/>
            </w:pPr>
            <w:r>
              <w:rPr>
                <w:rFonts w:ascii="Arial" w:eastAsia="Arial" w:hAnsi="Arial" w:cs="Arial"/>
                <w:sz w:val="18"/>
              </w:rPr>
              <w:t xml:space="preserve">Federal Housing Commissioner                                            </w:t>
            </w:r>
            <w:proofErr w:type="gramStart"/>
            <w:r>
              <w:rPr>
                <w:rFonts w:ascii="Arial" w:eastAsia="Arial" w:hAnsi="Arial" w:cs="Arial"/>
                <w:sz w:val="18"/>
              </w:rPr>
              <w:t xml:space="preserve">   (</w:t>
            </w:r>
            <w:proofErr w:type="gramEnd"/>
            <w:r>
              <w:rPr>
                <w:rFonts w:ascii="Arial" w:eastAsia="Arial" w:hAnsi="Arial" w:cs="Arial"/>
                <w:sz w:val="18"/>
              </w:rPr>
              <w:t>exp. 4/30/2020)</w:t>
            </w:r>
          </w:p>
        </w:tc>
      </w:tr>
    </w:tbl>
    <w:p w14:paraId="73070F67" w14:textId="77777777" w:rsidR="001E30AC" w:rsidRDefault="00000000">
      <w:pPr>
        <w:spacing w:after="0" w:line="259" w:lineRule="auto"/>
        <w:ind w:left="0" w:right="0" w:firstLine="0"/>
        <w:jc w:val="left"/>
      </w:pPr>
      <w:r>
        <w:rPr>
          <w:rFonts w:ascii="Arial" w:eastAsia="Arial" w:hAnsi="Arial" w:cs="Arial"/>
          <w:sz w:val="37"/>
          <w:vertAlign w:val="subscript"/>
        </w:rPr>
        <w:t>Excerpt From 41 CFR §60-1.4(b)</w:t>
      </w:r>
    </w:p>
    <w:p w14:paraId="70E6DF52" w14:textId="77777777" w:rsidR="001E30AC" w:rsidRDefault="00000000">
      <w:pPr>
        <w:spacing w:after="0" w:line="259" w:lineRule="auto"/>
        <w:ind w:left="-12" w:right="-7757" w:firstLine="0"/>
        <w:jc w:val="left"/>
      </w:pPr>
      <w:r>
        <w:rPr>
          <w:rFonts w:ascii="Calibri" w:eastAsia="Calibri" w:hAnsi="Calibri" w:cs="Calibri"/>
          <w:noProof/>
          <w:sz w:val="22"/>
        </w:rPr>
        <mc:AlternateContent>
          <mc:Choice Requires="wpg">
            <w:drawing>
              <wp:inline distT="0" distB="0" distL="0" distR="0" wp14:anchorId="124D7A4F" wp14:editId="4159E847">
                <wp:extent cx="7162800" cy="12192"/>
                <wp:effectExtent l="0" t="0" r="0" b="0"/>
                <wp:docPr id="3433" name="Group 3433"/>
                <wp:cNvGraphicFramePr/>
                <a:graphic xmlns:a="http://schemas.openxmlformats.org/drawingml/2006/main">
                  <a:graphicData uri="http://schemas.microsoft.com/office/word/2010/wordprocessingGroup">
                    <wpg:wgp>
                      <wpg:cNvGrpSpPr/>
                      <wpg:grpSpPr>
                        <a:xfrm>
                          <a:off x="0" y="0"/>
                          <a:ext cx="7162800" cy="12192"/>
                          <a:chOff x="0" y="0"/>
                          <a:chExt cx="7162800" cy="12192"/>
                        </a:xfrm>
                      </wpg:grpSpPr>
                      <wps:wsp>
                        <wps:cNvPr id="32" name="Shape 32"/>
                        <wps:cNvSpPr/>
                        <wps:spPr>
                          <a:xfrm>
                            <a:off x="0" y="0"/>
                            <a:ext cx="7162800" cy="0"/>
                          </a:xfrm>
                          <a:custGeom>
                            <a:avLst/>
                            <a:gdLst/>
                            <a:ahLst/>
                            <a:cxnLst/>
                            <a:rect l="0" t="0" r="0" b="0"/>
                            <a:pathLst>
                              <a:path w="7162800">
                                <a:moveTo>
                                  <a:pt x="0" y="0"/>
                                </a:moveTo>
                                <a:lnTo>
                                  <a:pt x="716280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33" style="width:564pt;height:0.96pt;mso-position-horizontal-relative:char;mso-position-vertical-relative:line" coordsize="71628,121">
                <v:shape id="Shape 32" style="position:absolute;width:71628;height:0;left:0;top:0;" coordsize="7162800,0" path="m0,0l7162800,0">
                  <v:stroke weight="0.96pt" endcap="flat" joinstyle="miter" miterlimit="10" on="true" color="#000000"/>
                  <v:fill on="false" color="#000000" opacity="0"/>
                </v:shape>
              </v:group>
            </w:pict>
          </mc:Fallback>
        </mc:AlternateContent>
      </w:r>
    </w:p>
    <w:p w14:paraId="64124532" w14:textId="77777777" w:rsidR="001E30AC" w:rsidRDefault="001E30AC">
      <w:pPr>
        <w:sectPr w:rsidR="001E30AC">
          <w:pgSz w:w="12240" w:h="15840"/>
          <w:pgMar w:top="430" w:right="8237" w:bottom="1440" w:left="492" w:header="720" w:footer="720" w:gutter="0"/>
          <w:cols w:space="720"/>
        </w:sectPr>
      </w:pPr>
    </w:p>
    <w:p w14:paraId="2BF58B79" w14:textId="77777777" w:rsidR="001E30AC" w:rsidRDefault="00000000">
      <w:pPr>
        <w:ind w:left="-5" w:right="0"/>
      </w:pPr>
      <w: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05F4618D" w14:textId="77777777" w:rsidR="001E30AC" w:rsidRDefault="00000000">
      <w:pPr>
        <w:spacing w:after="169"/>
        <w:ind w:left="-5" w:right="0"/>
      </w:pPr>
      <w:r>
        <w:t>During the performance of this contract, the contractor agrees as follows:</w:t>
      </w:r>
    </w:p>
    <w:p w14:paraId="0B4F015E" w14:textId="77777777" w:rsidR="001E30AC" w:rsidRDefault="00000000">
      <w:pPr>
        <w:numPr>
          <w:ilvl w:val="0"/>
          <w:numId w:val="1"/>
        </w:numPr>
        <w:spacing w:after="169"/>
        <w:ind w:right="0" w:hanging="359"/>
      </w:pPr>
      <w:r>
        <w:t>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70F42DE4" w14:textId="77777777" w:rsidR="001E30AC" w:rsidRDefault="00000000">
      <w:pPr>
        <w:numPr>
          <w:ilvl w:val="0"/>
          <w:numId w:val="1"/>
        </w:numPr>
        <w:spacing w:after="167"/>
        <w:ind w:right="0" w:hanging="359"/>
      </w:pPr>
      <w:r>
        <w:t>The contractor will, in all solicitations or advertisements for employees placed by or on behalf of the contractor, state that all qualified applicants will receive considerations for employment without regard to race, color, religion, sex, or national origin.</w:t>
      </w:r>
    </w:p>
    <w:p w14:paraId="62916D40" w14:textId="77777777" w:rsidR="001E30AC" w:rsidRDefault="00000000">
      <w:pPr>
        <w:numPr>
          <w:ilvl w:val="0"/>
          <w:numId w:val="1"/>
        </w:numPr>
        <w:spacing w:after="169"/>
        <w:ind w:right="0" w:hanging="359"/>
      </w:pPr>
      <w:r>
        <w:t>The contractor will send to each labor union or representative of workers with which it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00191FF9" w14:textId="77777777" w:rsidR="001E30AC" w:rsidRDefault="00000000">
      <w:pPr>
        <w:numPr>
          <w:ilvl w:val="0"/>
          <w:numId w:val="1"/>
        </w:numPr>
        <w:spacing w:after="169"/>
        <w:ind w:right="0" w:hanging="359"/>
      </w:pPr>
      <w:r>
        <w:t>The contractor will comply with all provisions of Executive Order 11246 of September 24, 1965, and of the rules, regulations and relevant orders of the Secretary of Labor.</w:t>
      </w:r>
    </w:p>
    <w:p w14:paraId="5EEC4043" w14:textId="77777777" w:rsidR="001E30AC" w:rsidRDefault="00000000">
      <w:pPr>
        <w:numPr>
          <w:ilvl w:val="0"/>
          <w:numId w:val="1"/>
        </w:numPr>
        <w:ind w:right="0" w:hanging="359"/>
      </w:pPr>
      <w:r>
        <w:t>The contractor will furnish all information and reports required by Executive Order 11246 of September 24, 1965, and by rules, regulations, and orders of the Secretary of Labor, or pursuant thereto, and will permit access to its books, records, and accounts by the administering agency and the Secretary of Labor for purposes of investigation to ascertain compliance with such rules, regulations, and orders.</w:t>
      </w:r>
    </w:p>
    <w:p w14:paraId="286A3C02" w14:textId="77777777" w:rsidR="001E30AC" w:rsidRDefault="00000000">
      <w:pPr>
        <w:numPr>
          <w:ilvl w:val="0"/>
          <w:numId w:val="1"/>
        </w:numPr>
        <w:spacing w:after="169"/>
        <w:ind w:right="0" w:hanging="359"/>
      </w:pPr>
      <w:r>
        <w:t xml:space="preserve">In the event of the contractor's noncompliance with the nondiscrimination clauses of this contract or with any of the said rules, regulations, or orders, this contract may be canceled, </w:t>
      </w:r>
      <w:r>
        <w:t>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0E8CEEE6" w14:textId="77777777" w:rsidR="001E30AC" w:rsidRDefault="00000000">
      <w:pPr>
        <w:numPr>
          <w:ilvl w:val="0"/>
          <w:numId w:val="1"/>
        </w:numPr>
        <w:ind w:right="0" w:hanging="359"/>
      </w:pPr>
      <w:r>
        <w:t xml:space="preserve">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Pr>
          <w:b/>
        </w:rPr>
        <w:t>Provided, however,</w:t>
      </w:r>
      <w: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4FB59CAF" w14:textId="77777777" w:rsidR="001E30AC" w:rsidRDefault="00000000">
      <w:pPr>
        <w:ind w:left="-5" w:right="0"/>
      </w:pPr>
      <w:r>
        <w:t>The applicant further agrees that it will be bound by the above equal opportunity clause with respect to its own employment practices when it participates in federally assisted construction work:</w:t>
      </w:r>
    </w:p>
    <w:p w14:paraId="0548C915" w14:textId="1CFB0170" w:rsidR="001E30AC" w:rsidRDefault="00000000">
      <w:pPr>
        <w:spacing w:after="59"/>
        <w:ind w:left="-5" w:right="0"/>
      </w:pPr>
      <w:r>
        <w:rPr>
          <w:b/>
        </w:rPr>
        <w:t>Provided</w:t>
      </w:r>
      <w:r>
        <w:t>,</w:t>
      </w:r>
      <w:r w:rsidR="003C7654">
        <w:t xml:space="preserve"> t</w:t>
      </w:r>
      <w:r>
        <w:t>hat if the applicant so participating is a State or local government, the above equal opportunity clause is not applicable to any agency, instrumentality or subdivision of such government which does not participate in work on or under the contract.</w:t>
      </w:r>
    </w:p>
    <w:p w14:paraId="5456E67F" w14:textId="77777777" w:rsidR="001E30AC" w:rsidRDefault="00000000">
      <w:pPr>
        <w:spacing w:after="59"/>
        <w:ind w:left="-5" w:right="0"/>
      </w:pPr>
      <w:r>
        <w:t>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tbl>
      <w:tblPr>
        <w:tblStyle w:val="TableGrid"/>
        <w:tblpPr w:vertAnchor="text" w:horzAnchor="margin" w:tblpY="3236"/>
        <w:tblOverlap w:val="never"/>
        <w:tblW w:w="11286" w:type="dxa"/>
        <w:tblInd w:w="0" w:type="dxa"/>
        <w:tblCellMar>
          <w:top w:w="0" w:type="dxa"/>
          <w:left w:w="0" w:type="dxa"/>
          <w:bottom w:w="14" w:type="dxa"/>
          <w:right w:w="6" w:type="dxa"/>
        </w:tblCellMar>
        <w:tblLook w:val="04A0" w:firstRow="1" w:lastRow="0" w:firstColumn="1" w:lastColumn="0" w:noHBand="0" w:noVBand="1"/>
      </w:tblPr>
      <w:tblGrid>
        <w:gridCol w:w="11286"/>
      </w:tblGrid>
      <w:tr w:rsidR="001E30AC" w14:paraId="42FB451B" w14:textId="77777777">
        <w:trPr>
          <w:trHeight w:val="393"/>
        </w:trPr>
        <w:tc>
          <w:tcPr>
            <w:tcW w:w="2098" w:type="dxa"/>
            <w:tcBorders>
              <w:top w:val="nil"/>
              <w:left w:val="nil"/>
              <w:bottom w:val="nil"/>
              <w:right w:val="nil"/>
            </w:tcBorders>
            <w:vAlign w:val="bottom"/>
          </w:tcPr>
          <w:tbl>
            <w:tblPr>
              <w:tblStyle w:val="TableGrid"/>
              <w:tblW w:w="11280" w:type="dxa"/>
              <w:tblInd w:w="0" w:type="dxa"/>
              <w:tblCellMar>
                <w:top w:w="70" w:type="dxa"/>
                <w:left w:w="0" w:type="dxa"/>
                <w:bottom w:w="0" w:type="dxa"/>
                <w:right w:w="115" w:type="dxa"/>
              </w:tblCellMar>
              <w:tblLook w:val="04A0" w:firstRow="1" w:lastRow="0" w:firstColumn="1" w:lastColumn="0" w:noHBand="0" w:noVBand="1"/>
            </w:tblPr>
            <w:tblGrid>
              <w:gridCol w:w="5642"/>
              <w:gridCol w:w="5638"/>
            </w:tblGrid>
            <w:tr w:rsidR="001E30AC" w14:paraId="1F08C0D7" w14:textId="77777777">
              <w:trPr>
                <w:trHeight w:val="708"/>
              </w:trPr>
              <w:tc>
                <w:tcPr>
                  <w:tcW w:w="5642" w:type="dxa"/>
                  <w:vMerge w:val="restart"/>
                  <w:tcBorders>
                    <w:top w:val="single" w:sz="8" w:space="0" w:color="020000"/>
                    <w:left w:val="nil"/>
                    <w:bottom w:val="single" w:sz="8" w:space="0" w:color="000000"/>
                    <w:right w:val="single" w:sz="2" w:space="0" w:color="020000"/>
                  </w:tcBorders>
                </w:tcPr>
                <w:p w14:paraId="24D574FF" w14:textId="77777777" w:rsidR="001E30AC" w:rsidRDefault="00000000">
                  <w:pPr>
                    <w:framePr w:wrap="around" w:vAnchor="text" w:hAnchor="margin" w:y="3236"/>
                    <w:spacing w:after="0" w:line="259" w:lineRule="auto"/>
                    <w:ind w:left="0" w:right="0" w:firstLine="0"/>
                    <w:suppressOverlap/>
                    <w:jc w:val="left"/>
                  </w:pPr>
                  <w:r>
                    <w:rPr>
                      <w:rFonts w:ascii="Arial" w:eastAsia="Arial" w:hAnsi="Arial" w:cs="Arial"/>
                      <w:sz w:val="14"/>
                    </w:rPr>
                    <w:t>Firm Name and Address</w:t>
                  </w:r>
                </w:p>
              </w:tc>
              <w:tc>
                <w:tcPr>
                  <w:tcW w:w="5638" w:type="dxa"/>
                  <w:tcBorders>
                    <w:top w:val="single" w:sz="8" w:space="0" w:color="020000"/>
                    <w:left w:val="single" w:sz="2" w:space="0" w:color="020000"/>
                    <w:bottom w:val="single" w:sz="2" w:space="0" w:color="020000"/>
                    <w:right w:val="nil"/>
                  </w:tcBorders>
                </w:tcPr>
                <w:p w14:paraId="2BF632D4" w14:textId="77777777" w:rsidR="001E30AC" w:rsidRDefault="00000000">
                  <w:pPr>
                    <w:framePr w:wrap="around" w:vAnchor="text" w:hAnchor="margin" w:y="3236"/>
                    <w:spacing w:after="0" w:line="259" w:lineRule="auto"/>
                    <w:ind w:left="57" w:right="0" w:firstLine="0"/>
                    <w:suppressOverlap/>
                    <w:jc w:val="left"/>
                  </w:pPr>
                  <w:r>
                    <w:rPr>
                      <w:rFonts w:ascii="Arial" w:eastAsia="Arial" w:hAnsi="Arial" w:cs="Arial"/>
                      <w:sz w:val="14"/>
                    </w:rPr>
                    <w:t>By</w:t>
                  </w:r>
                </w:p>
              </w:tc>
            </w:tr>
            <w:tr w:rsidR="001E30AC" w14:paraId="3DDFBA2F" w14:textId="77777777">
              <w:trPr>
                <w:trHeight w:val="696"/>
              </w:trPr>
              <w:tc>
                <w:tcPr>
                  <w:tcW w:w="0" w:type="auto"/>
                  <w:vMerge/>
                  <w:tcBorders>
                    <w:top w:val="nil"/>
                    <w:left w:val="nil"/>
                    <w:bottom w:val="single" w:sz="8" w:space="0" w:color="000000"/>
                    <w:right w:val="single" w:sz="2" w:space="0" w:color="020000"/>
                  </w:tcBorders>
                </w:tcPr>
                <w:p w14:paraId="2DDAB912" w14:textId="77777777" w:rsidR="001E30AC" w:rsidRDefault="001E30AC">
                  <w:pPr>
                    <w:framePr w:wrap="around" w:vAnchor="text" w:hAnchor="margin" w:y="3236"/>
                    <w:spacing w:after="160" w:line="259" w:lineRule="auto"/>
                    <w:ind w:left="0" w:right="0" w:firstLine="0"/>
                    <w:suppressOverlap/>
                    <w:jc w:val="left"/>
                  </w:pPr>
                </w:p>
              </w:tc>
              <w:tc>
                <w:tcPr>
                  <w:tcW w:w="5638" w:type="dxa"/>
                  <w:tcBorders>
                    <w:top w:val="single" w:sz="2" w:space="0" w:color="020000"/>
                    <w:left w:val="single" w:sz="2" w:space="0" w:color="020000"/>
                    <w:bottom w:val="single" w:sz="8" w:space="0" w:color="000000"/>
                    <w:right w:val="nil"/>
                  </w:tcBorders>
                </w:tcPr>
                <w:p w14:paraId="3AFAAD86" w14:textId="77777777" w:rsidR="001E30AC" w:rsidRDefault="00000000">
                  <w:pPr>
                    <w:framePr w:wrap="around" w:vAnchor="text" w:hAnchor="margin" w:y="3236"/>
                    <w:spacing w:after="0" w:line="259" w:lineRule="auto"/>
                    <w:ind w:left="58" w:right="0" w:firstLine="0"/>
                    <w:suppressOverlap/>
                    <w:jc w:val="left"/>
                  </w:pPr>
                  <w:r>
                    <w:rPr>
                      <w:rFonts w:ascii="Arial" w:eastAsia="Arial" w:hAnsi="Arial" w:cs="Arial"/>
                      <w:sz w:val="14"/>
                    </w:rPr>
                    <w:t>Title</w:t>
                  </w:r>
                </w:p>
              </w:tc>
            </w:tr>
          </w:tbl>
          <w:p w14:paraId="4AF66202" w14:textId="77777777" w:rsidR="001E30AC" w:rsidRDefault="00000000">
            <w:pPr>
              <w:spacing w:after="30" w:line="259" w:lineRule="auto"/>
              <w:ind w:left="9106" w:right="0" w:firstLine="0"/>
              <w:jc w:val="left"/>
            </w:pPr>
            <w:r>
              <w:rPr>
                <w:rFonts w:ascii="Arial" w:eastAsia="Arial" w:hAnsi="Arial" w:cs="Arial"/>
                <w:sz w:val="16"/>
              </w:rPr>
              <w:t xml:space="preserve">form </w:t>
            </w:r>
            <w:r>
              <w:rPr>
                <w:rFonts w:ascii="Arial" w:eastAsia="Arial" w:hAnsi="Arial" w:cs="Arial"/>
                <w:b/>
                <w:sz w:val="16"/>
              </w:rPr>
              <w:t>HUD-92010</w:t>
            </w:r>
            <w:r>
              <w:rPr>
                <w:rFonts w:ascii="Arial" w:eastAsia="Arial" w:hAnsi="Arial" w:cs="Arial"/>
                <w:sz w:val="16"/>
              </w:rPr>
              <w:t xml:space="preserve"> (3/2006)</w:t>
            </w:r>
          </w:p>
          <w:p w14:paraId="691AC4C2" w14:textId="77777777" w:rsidR="001E30AC" w:rsidRDefault="00000000">
            <w:pPr>
              <w:spacing w:after="0" w:line="259" w:lineRule="auto"/>
              <w:ind w:left="0" w:right="75" w:firstLine="0"/>
              <w:jc w:val="right"/>
            </w:pPr>
            <w:r>
              <w:rPr>
                <w:rFonts w:ascii="Arial" w:eastAsia="Arial" w:hAnsi="Arial" w:cs="Arial"/>
                <w:sz w:val="16"/>
              </w:rPr>
              <w:t xml:space="preserve">        VA form 26-421</w:t>
            </w:r>
          </w:p>
        </w:tc>
      </w:tr>
    </w:tbl>
    <w:p w14:paraId="3C96F599" w14:textId="77777777" w:rsidR="001E30AC" w:rsidRDefault="00000000">
      <w:pPr>
        <w:ind w:left="-5" w:right="0"/>
      </w:pPr>
      <w:r>
        <w:t xml:space="preserve">The applicant further agrees that it will refrain from entering into any contract or contract modification subject to Executive Order 11246 of September 24, 1965, with a contractor debarred from, or who has not demonstrated eligibility for, Government contracts and Federally-assisted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w:t>
      </w:r>
      <w:r>
        <w:lastRenderedPageBreak/>
        <w:t xml:space="preserve">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 </w:t>
      </w:r>
      <w:r>
        <w:rPr>
          <w:b/>
        </w:rPr>
        <w:t>Excerpt from HUD Regulations</w:t>
      </w:r>
    </w:p>
    <w:p w14:paraId="0658D1CA" w14:textId="77777777" w:rsidR="001E30AC" w:rsidRDefault="00000000">
      <w:pPr>
        <w:ind w:left="-5" w:right="0"/>
      </w:pPr>
      <w:r>
        <w:t>200.410Definition of term “applicant”.</w:t>
      </w:r>
    </w:p>
    <w:p w14:paraId="1874F8BE" w14:textId="4F473CB8" w:rsidR="001E30AC" w:rsidRDefault="00000000">
      <w:pPr>
        <w:numPr>
          <w:ilvl w:val="0"/>
          <w:numId w:val="2"/>
        </w:numPr>
        <w:ind w:right="0" w:hanging="360"/>
      </w:pPr>
      <w:r>
        <w:t>In multifamily housing transactions where controls over the</w:t>
      </w:r>
      <w:r w:rsidR="003C7654">
        <w:t xml:space="preserve"> </w:t>
      </w:r>
      <w:r>
        <w:t>mortgagor are exercised by the Commissioner either through the ownership of corporate stock or under the provisions of a regulatory agreement, the term “applicant” as used in this subpart shall mean the mortgagor.</w:t>
      </w:r>
    </w:p>
    <w:p w14:paraId="5A775A01" w14:textId="6CE60788" w:rsidR="001E30AC" w:rsidRDefault="00000000">
      <w:pPr>
        <w:numPr>
          <w:ilvl w:val="0"/>
          <w:numId w:val="2"/>
        </w:numPr>
        <w:ind w:right="0" w:hanging="360"/>
      </w:pPr>
      <w:r>
        <w:t>In transactions other than those specified in paragraph(a) of</w:t>
      </w:r>
      <w:r w:rsidR="003C7654">
        <w:t xml:space="preserve"> </w:t>
      </w:r>
      <w:r>
        <w:t>this section, the term “applicant” as used in this subpart shall mean the builder, dealer or contractor performing the construction, repair or rehabilitation work for the mortgagor or other borrower.</w:t>
      </w:r>
    </w:p>
    <w:p w14:paraId="2FC4AF0E" w14:textId="77777777" w:rsidR="001E30AC" w:rsidRDefault="00000000">
      <w:pPr>
        <w:ind w:left="-5" w:right="0"/>
      </w:pPr>
      <w:r>
        <w:t>200.420Equal Opportunity Clause to be included in contracts and subcontracts.</w:t>
      </w:r>
    </w:p>
    <w:p w14:paraId="277C8BFF" w14:textId="5F341A69" w:rsidR="001E30AC" w:rsidRDefault="00000000">
      <w:pPr>
        <w:numPr>
          <w:ilvl w:val="0"/>
          <w:numId w:val="3"/>
        </w:numPr>
        <w:spacing w:after="56"/>
        <w:ind w:right="0" w:hanging="360"/>
      </w:pPr>
      <w:r>
        <w:t>The following equal opportunity clause shall be included in</w:t>
      </w:r>
      <w:r w:rsidR="003C7654">
        <w:t xml:space="preserve"> </w:t>
      </w:r>
      <w:r>
        <w:t>each contract and subcontract which is not exempt:</w:t>
      </w:r>
    </w:p>
    <w:p w14:paraId="70137C4B" w14:textId="77777777" w:rsidR="001E30AC" w:rsidRDefault="00000000">
      <w:pPr>
        <w:spacing w:after="85"/>
        <w:ind w:left="370" w:right="0"/>
      </w:pPr>
      <w:r>
        <w:t>During the performance of this contract, the contractor agrees as follows:</w:t>
      </w:r>
    </w:p>
    <w:p w14:paraId="36942E1A" w14:textId="77777777" w:rsidR="001E30AC" w:rsidRDefault="00000000">
      <w:pPr>
        <w:spacing w:after="59"/>
        <w:ind w:left="370" w:right="0"/>
      </w:pPr>
      <w:r>
        <w:t>(1) The contractor will not discriminate against any employee or applicant for employment because of race, creed, color, or national origin. The contractor will take affirmative action to ensured that applicants are employed, and that employees are treated during employment without regard to their race, creed, color,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the nondiscrimination clause.</w:t>
      </w:r>
    </w:p>
    <w:p w14:paraId="6DB961CD" w14:textId="75B36263" w:rsidR="001E30AC" w:rsidRDefault="00000000">
      <w:pPr>
        <w:spacing w:after="86"/>
        <w:ind w:left="370" w:right="0"/>
      </w:pPr>
      <w:r>
        <w:t>(2)The contractor will in all solicitations or advertisements for employees placed by or on behalf of the contractor, state that all qualified applicants will receive consideration for employment without regard race, creed, color, or national origin.</w:t>
      </w:r>
    </w:p>
    <w:p w14:paraId="7BE9E4D0" w14:textId="77777777" w:rsidR="001E30AC" w:rsidRDefault="00000000">
      <w:pPr>
        <w:numPr>
          <w:ilvl w:val="1"/>
          <w:numId w:val="4"/>
        </w:numPr>
        <w:spacing w:after="83"/>
        <w:ind w:right="0"/>
      </w:pPr>
      <w:r>
        <w:t>The contractor will send to each labor union or representative of workers with which he has a collective bargaining agreement or other contract or understanding, a notice, to be provided, advising the said labor union or workers’ representative of the contractor’s commitments under this section, and shall post copies of the notices in conspicuous places available to employees and applicants for employment.</w:t>
      </w:r>
    </w:p>
    <w:p w14:paraId="56FBFCC4" w14:textId="77777777" w:rsidR="001E30AC" w:rsidRDefault="00000000">
      <w:pPr>
        <w:numPr>
          <w:ilvl w:val="1"/>
          <w:numId w:val="4"/>
        </w:numPr>
        <w:ind w:right="0"/>
      </w:pPr>
      <w:r>
        <w:t>The contractor will comply with all provisions of Executive Order 10925 of March 6 1961, as amended, and of the regulations, and relevant orders of the President’s Committee on Equal Employment Opportunity created thereby.</w:t>
      </w:r>
    </w:p>
    <w:p w14:paraId="1C1CD920" w14:textId="77777777" w:rsidR="001E30AC" w:rsidRDefault="00000000">
      <w:pPr>
        <w:numPr>
          <w:ilvl w:val="1"/>
          <w:numId w:val="4"/>
        </w:numPr>
        <w:spacing w:after="85"/>
        <w:ind w:right="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130B722" wp14:editId="34EE7283">
                <wp:simplePos x="0" y="0"/>
                <wp:positionH relativeFrom="page">
                  <wp:posOffset>304800</wp:posOffset>
                </wp:positionH>
                <wp:positionV relativeFrom="page">
                  <wp:posOffset>310897</wp:posOffset>
                </wp:positionV>
                <wp:extent cx="7162800" cy="12192"/>
                <wp:effectExtent l="0" t="0" r="0" b="0"/>
                <wp:wrapTopAndBottom/>
                <wp:docPr id="3423" name="Group 3423"/>
                <wp:cNvGraphicFramePr/>
                <a:graphic xmlns:a="http://schemas.openxmlformats.org/drawingml/2006/main">
                  <a:graphicData uri="http://schemas.microsoft.com/office/word/2010/wordprocessingGroup">
                    <wpg:wgp>
                      <wpg:cNvGrpSpPr/>
                      <wpg:grpSpPr>
                        <a:xfrm>
                          <a:off x="0" y="0"/>
                          <a:ext cx="7162800" cy="12192"/>
                          <a:chOff x="0" y="0"/>
                          <a:chExt cx="7162800" cy="12192"/>
                        </a:xfrm>
                      </wpg:grpSpPr>
                      <wps:wsp>
                        <wps:cNvPr id="291" name="Shape 291"/>
                        <wps:cNvSpPr/>
                        <wps:spPr>
                          <a:xfrm>
                            <a:off x="0" y="0"/>
                            <a:ext cx="7162800" cy="0"/>
                          </a:xfrm>
                          <a:custGeom>
                            <a:avLst/>
                            <a:gdLst/>
                            <a:ahLst/>
                            <a:cxnLst/>
                            <a:rect l="0" t="0" r="0" b="0"/>
                            <a:pathLst>
                              <a:path w="7162800">
                                <a:moveTo>
                                  <a:pt x="0" y="0"/>
                                </a:moveTo>
                                <a:lnTo>
                                  <a:pt x="7162800" y="0"/>
                                </a:lnTo>
                              </a:path>
                            </a:pathLst>
                          </a:custGeom>
                          <a:ln w="12192" cap="flat">
                            <a:miter lim="127000"/>
                          </a:ln>
                        </wps:spPr>
                        <wps:style>
                          <a:lnRef idx="1">
                            <a:srgbClr val="02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23" style="width:564pt;height:0.96001pt;position:absolute;mso-position-horizontal-relative:page;mso-position-horizontal:absolute;margin-left:24pt;mso-position-vertical-relative:page;margin-top:24.48pt;" coordsize="71628,121">
                <v:shape id="Shape 291" style="position:absolute;width:71628;height:0;left:0;top:0;" coordsize="7162800,0" path="m0,0l7162800,0">
                  <v:stroke weight="0.96001pt" endcap="flat" joinstyle="miter" miterlimit="10" on="true" color="#020000"/>
                  <v:fill on="false" color="#000000" opacity="0"/>
                </v:shape>
                <w10:wrap type="topAndBottom"/>
              </v:group>
            </w:pict>
          </mc:Fallback>
        </mc:AlternateContent>
      </w:r>
      <w:r>
        <w:t xml:space="preserve">The contractor will furnish all information and reports required by Executive Order 10925 of March 6, 1961, as amended, and by the regulations, and orders of the said </w:t>
      </w:r>
      <w:proofErr w:type="gramStart"/>
      <w:r>
        <w:t>Committee ,</w:t>
      </w:r>
      <w:proofErr w:type="gramEnd"/>
      <w:r>
        <w:t xml:space="preserve"> or pursuant thereto, and will permit access to his books, records, and accounts by HUD and the Committee for purposes of investigation to ascertain compliance with such regulations, and orders.</w:t>
      </w:r>
    </w:p>
    <w:p w14:paraId="19C26603" w14:textId="7AF148B7" w:rsidR="001E30AC" w:rsidRDefault="00000000">
      <w:pPr>
        <w:numPr>
          <w:ilvl w:val="1"/>
          <w:numId w:val="4"/>
        </w:numPr>
        <w:spacing w:after="85"/>
        <w:ind w:right="0"/>
      </w:pPr>
      <w:r>
        <w:t>In the event of the contractor’s non-compliance with the nondiscrimination clause of this contract or with any of the said regulations, or orders, this contract may be cancelled, terminated or suspended in whole or in part and the contractor may be declared ineligible for further Government contracts or Federally-assisted construction contracts in accordance with procedures authorized in Executive Order 10925 of March 6, 1961, as amende</w:t>
      </w:r>
      <w:r w:rsidR="003C7654">
        <w:t>d</w:t>
      </w:r>
      <w:r>
        <w:t>, and such other sanctions may be imposed and remedies invoke s provided in the said Executive Order or by regulations, or order of the President’s Committee on Equal Employment Opportunity, or as otherwise provided by law.</w:t>
      </w:r>
    </w:p>
    <w:p w14:paraId="51D03C35" w14:textId="157F8793" w:rsidR="001E30AC" w:rsidRDefault="00000000">
      <w:pPr>
        <w:numPr>
          <w:ilvl w:val="1"/>
          <w:numId w:val="4"/>
        </w:numPr>
        <w:ind w:right="0"/>
      </w:pPr>
      <w:r>
        <w:t>The contractor will include the provisions of Paragraphs</w:t>
      </w:r>
      <w:r w:rsidR="003C7654">
        <w:t xml:space="preserve"> </w:t>
      </w:r>
      <w:r>
        <w:t>(1) through (7) in every subcontract or purchase order unless exempted by regulations, or orders of the President’s Committee on Equal Employment Opportunity issued pursuant to Section 303 of Executive Order 10925 of March 6, 1961, as amended, so that such provisions will be binding upon each subcontractor or vender.  The contractor will take such action with respect to any subcontract or purchase orders as HUD may direct as a means of enforcing such provisions, including sanctions for noncompliance: Provided, however, that in the event the contractor becomes involved in, or is threatened with, litigation with a subcontractor or vender as a result of such direction by HUD, the contractor may request the United States to enter into such litigation to protect the interests of the United States.</w:t>
      </w:r>
    </w:p>
    <w:p w14:paraId="3CA2A328" w14:textId="5880C5E0" w:rsidR="001E30AC" w:rsidRDefault="00000000">
      <w:pPr>
        <w:numPr>
          <w:ilvl w:val="0"/>
          <w:numId w:val="3"/>
        </w:numPr>
        <w:ind w:right="0" w:hanging="360"/>
      </w:pPr>
      <w:r>
        <w:t>Except in subcontracts for the performance of construction</w:t>
      </w:r>
      <w:r w:rsidR="003C7654">
        <w:t xml:space="preserve"> </w:t>
      </w:r>
      <w:r>
        <w:t>work at the site of construction, the clause is not required to be inserted in subcontracts below the second tier.  Subcontracts may incorporate by referenced to the equal opportunity clause.</w:t>
      </w:r>
    </w:p>
    <w:p w14:paraId="465A1092" w14:textId="77777777" w:rsidR="001E30AC" w:rsidRDefault="00000000">
      <w:pPr>
        <w:ind w:left="-5" w:right="0"/>
      </w:pPr>
      <w:r>
        <w:t>200.425Modification in and exemptions from the regulations in this subpart.</w:t>
      </w:r>
    </w:p>
    <w:p w14:paraId="083A7F1E" w14:textId="77777777" w:rsidR="001E30AC" w:rsidRDefault="00000000">
      <w:pPr>
        <w:spacing w:after="83"/>
        <w:ind w:left="345" w:right="0" w:hanging="360"/>
      </w:pPr>
      <w:r>
        <w:t>(a) The following transactions and contracts are exempt from the regulations in this subpart:</w:t>
      </w:r>
    </w:p>
    <w:p w14:paraId="472B5FB7" w14:textId="77777777" w:rsidR="001E30AC" w:rsidRDefault="00000000">
      <w:pPr>
        <w:numPr>
          <w:ilvl w:val="0"/>
          <w:numId w:val="5"/>
        </w:numPr>
        <w:spacing w:after="85"/>
        <w:ind w:right="0"/>
      </w:pPr>
      <w:r>
        <w:t>Loans, mortgages, contracts and subcontracts not exceeding $10,000.</w:t>
      </w:r>
    </w:p>
    <w:p w14:paraId="6603C3B3" w14:textId="77777777" w:rsidR="001E30AC" w:rsidRDefault="00000000">
      <w:pPr>
        <w:numPr>
          <w:ilvl w:val="0"/>
          <w:numId w:val="5"/>
        </w:numPr>
        <w:spacing w:after="58"/>
        <w:ind w:right="0"/>
      </w:pPr>
      <w:r>
        <w:t>Contract and subcontracts not exceeding $100,000 for standard commercial supplies or raw material;</w:t>
      </w:r>
    </w:p>
    <w:p w14:paraId="39778A29" w14:textId="158C7261" w:rsidR="001E30AC" w:rsidRDefault="00000000" w:rsidP="003C7654">
      <w:pPr>
        <w:pStyle w:val="ListParagraph"/>
        <w:numPr>
          <w:ilvl w:val="0"/>
          <w:numId w:val="5"/>
        </w:numPr>
        <w:spacing w:after="0"/>
        <w:ind w:right="0"/>
      </w:pPr>
      <w:r>
        <w:t>Contracts and subcontracts under which work is to be or has been performed outside the United States and where no recruitment of workers within the United States in involved. To the extent that work pursuant to such contracts is done within the</w:t>
      </w:r>
    </w:p>
    <w:p w14:paraId="39FC2275" w14:textId="4A6F0610" w:rsidR="001E30AC" w:rsidRDefault="00000000">
      <w:pPr>
        <w:spacing w:after="79"/>
        <w:ind w:left="370" w:right="0"/>
      </w:pPr>
      <w:r>
        <w:t>Un</w:t>
      </w:r>
      <w:r w:rsidR="003C7654">
        <w:t>it</w:t>
      </w:r>
      <w:r>
        <w:t>ed States, the equal opportunity clause shall be applicable;</w:t>
      </w:r>
    </w:p>
    <w:p w14:paraId="18C2BAFF" w14:textId="77777777" w:rsidR="001E30AC" w:rsidRDefault="00000000">
      <w:pPr>
        <w:numPr>
          <w:ilvl w:val="0"/>
          <w:numId w:val="6"/>
        </w:numPr>
        <w:spacing w:after="85"/>
        <w:ind w:right="0"/>
      </w:pPr>
      <w:r>
        <w:t>Contracts for the sale of Government property where no appreciable amount of work is involved; and</w:t>
      </w:r>
    </w:p>
    <w:p w14:paraId="018C8FF9" w14:textId="77777777" w:rsidR="001E30AC" w:rsidRDefault="00000000">
      <w:pPr>
        <w:numPr>
          <w:ilvl w:val="0"/>
          <w:numId w:val="6"/>
        </w:numPr>
        <w:ind w:right="0"/>
      </w:pPr>
      <w:r>
        <w:t xml:space="preserve">Contracts and subcontracts for an indefinite quantity which are not to extend for </w:t>
      </w:r>
      <w:proofErr w:type="spellStart"/>
      <w:r>
        <w:t>ore</w:t>
      </w:r>
      <w:proofErr w:type="spellEnd"/>
      <w:r>
        <w:t xml:space="preserve"> than one year if the purchaser determines that the amounts to be ordered under any such contract or subcontract are not reasonably expected to exceed $100,000 in the case of contracts or subcontracts for standard commercial supplies and raw materials, or $10,000 in the case of all other contracts and subcontracts.</w:t>
      </w:r>
    </w:p>
    <w:p w14:paraId="087BF3F0" w14:textId="77777777" w:rsidR="001E30AC" w:rsidRDefault="001E30AC">
      <w:pPr>
        <w:sectPr w:rsidR="001E30AC">
          <w:type w:val="continuous"/>
          <w:pgSz w:w="12240" w:h="15840"/>
          <w:pgMar w:top="730" w:right="474" w:bottom="389" w:left="480" w:header="720" w:footer="720" w:gutter="0"/>
          <w:cols w:num="2" w:space="474"/>
        </w:sectPr>
      </w:pPr>
    </w:p>
    <w:p w14:paraId="164A05AC" w14:textId="77777777" w:rsidR="001E30AC" w:rsidRDefault="00000000">
      <w:pPr>
        <w:spacing w:after="50" w:line="259" w:lineRule="auto"/>
        <w:ind w:left="-9566" w:right="0" w:firstLine="0"/>
        <w:jc w:val="left"/>
      </w:pPr>
      <w:r>
        <w:rPr>
          <w:rFonts w:ascii="Calibri" w:eastAsia="Calibri" w:hAnsi="Calibri" w:cs="Calibri"/>
          <w:noProof/>
          <w:sz w:val="22"/>
        </w:rPr>
        <mc:AlternateContent>
          <mc:Choice Requires="wpg">
            <w:drawing>
              <wp:inline distT="0" distB="0" distL="0" distR="0" wp14:anchorId="3AABD94B" wp14:editId="6DBBD395">
                <wp:extent cx="7159752" cy="12192"/>
                <wp:effectExtent l="0" t="0" r="0" b="0"/>
                <wp:docPr id="3422" name="Group 3422"/>
                <wp:cNvGraphicFramePr/>
                <a:graphic xmlns:a="http://schemas.openxmlformats.org/drawingml/2006/main">
                  <a:graphicData uri="http://schemas.microsoft.com/office/word/2010/wordprocessingGroup">
                    <wpg:wgp>
                      <wpg:cNvGrpSpPr/>
                      <wpg:grpSpPr>
                        <a:xfrm>
                          <a:off x="0" y="0"/>
                          <a:ext cx="7159752" cy="12192"/>
                          <a:chOff x="0" y="0"/>
                          <a:chExt cx="7159752" cy="12192"/>
                        </a:xfrm>
                      </wpg:grpSpPr>
                      <wps:wsp>
                        <wps:cNvPr id="172" name="Shape 172"/>
                        <wps:cNvSpPr/>
                        <wps:spPr>
                          <a:xfrm>
                            <a:off x="0" y="0"/>
                            <a:ext cx="7159752" cy="0"/>
                          </a:xfrm>
                          <a:custGeom>
                            <a:avLst/>
                            <a:gdLst/>
                            <a:ahLst/>
                            <a:cxnLst/>
                            <a:rect l="0" t="0" r="0" b="0"/>
                            <a:pathLst>
                              <a:path w="7159752">
                                <a:moveTo>
                                  <a:pt x="0" y="0"/>
                                </a:moveTo>
                                <a:lnTo>
                                  <a:pt x="7159752"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22" style="width:563.76pt;height:0.96001pt;mso-position-horizontal-relative:char;mso-position-vertical-relative:line" coordsize="71597,121">
                <v:shape id="Shape 172" style="position:absolute;width:71597;height:0;left:0;top:0;" coordsize="7159752,0" path="m0,0l7159752,0">
                  <v:stroke weight="0.96001pt" endcap="flat" joinstyle="miter" miterlimit="10" on="true" color="#000000"/>
                  <v:fill on="false" color="#000000" opacity="0"/>
                </v:shape>
              </v:group>
            </w:pict>
          </mc:Fallback>
        </mc:AlternateContent>
      </w:r>
    </w:p>
    <w:p w14:paraId="30C86167" w14:textId="77777777" w:rsidR="001E30AC" w:rsidRDefault="00000000">
      <w:pPr>
        <w:spacing w:after="0" w:line="251" w:lineRule="auto"/>
        <w:ind w:left="0" w:right="0" w:firstLine="0"/>
        <w:jc w:val="right"/>
      </w:pPr>
      <w:r>
        <w:rPr>
          <w:rFonts w:ascii="Arial" w:eastAsia="Arial" w:hAnsi="Arial" w:cs="Arial"/>
          <w:sz w:val="16"/>
        </w:rPr>
        <w:t xml:space="preserve">form </w:t>
      </w:r>
      <w:r>
        <w:rPr>
          <w:rFonts w:ascii="Arial" w:eastAsia="Arial" w:hAnsi="Arial" w:cs="Arial"/>
          <w:b/>
          <w:sz w:val="16"/>
        </w:rPr>
        <w:t>HUD-92010</w:t>
      </w:r>
      <w:r>
        <w:rPr>
          <w:rFonts w:ascii="Arial" w:eastAsia="Arial" w:hAnsi="Arial" w:cs="Arial"/>
          <w:sz w:val="16"/>
        </w:rPr>
        <w:t xml:space="preserve"> (3/06) VA form 26-421</w:t>
      </w:r>
    </w:p>
    <w:sectPr w:rsidR="001E30AC">
      <w:type w:val="continuous"/>
      <w:pgSz w:w="12240" w:h="15840"/>
      <w:pgMar w:top="730" w:right="479" w:bottom="423" w:left="100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049"/>
    <w:multiLevelType w:val="hybridMultilevel"/>
    <w:tmpl w:val="381627E8"/>
    <w:lvl w:ilvl="0" w:tplc="333048B8">
      <w:start w:val="1"/>
      <w:numFmt w:val="decimal"/>
      <w:lvlText w:val="(%1)"/>
      <w:lvlJc w:val="left"/>
      <w:pPr>
        <w:ind w:left="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56BE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FEA2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74CE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B07C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FA6B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C8E83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7087E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401B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8749BA"/>
    <w:multiLevelType w:val="hybridMultilevel"/>
    <w:tmpl w:val="49F6F270"/>
    <w:lvl w:ilvl="0" w:tplc="7C0EB09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001C02">
      <w:start w:val="3"/>
      <w:numFmt w:val="decimal"/>
      <w:lvlText w:val="(%2)"/>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0C8AD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98D98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8A9A8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04FD4C">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F643B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F0BFB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74223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113360"/>
    <w:multiLevelType w:val="hybridMultilevel"/>
    <w:tmpl w:val="34C85D54"/>
    <w:lvl w:ilvl="0" w:tplc="B95EDC06">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288A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987C3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E26A3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AC72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7695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AEADD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2033B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E0C7A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8E2090"/>
    <w:multiLevelType w:val="hybridMultilevel"/>
    <w:tmpl w:val="C9D69FF2"/>
    <w:lvl w:ilvl="0" w:tplc="A2C2555A">
      <w:start w:val="1"/>
      <w:numFmt w:val="decimal"/>
      <w:lvlText w:val="(%1)"/>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826A2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5264A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00F5F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44328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52F0C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DC15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6CED1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CE2EF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DAD2CD0"/>
    <w:multiLevelType w:val="hybridMultilevel"/>
    <w:tmpl w:val="DB665D8E"/>
    <w:lvl w:ilvl="0" w:tplc="7E2E200E">
      <w:start w:val="4"/>
      <w:numFmt w:val="decimal"/>
      <w:lvlText w:val="(%1)"/>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8A138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A2EDB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3E0BF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46BDB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3605A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FC2E7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C818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00E5D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87D2D88"/>
    <w:multiLevelType w:val="hybridMultilevel"/>
    <w:tmpl w:val="F67698C6"/>
    <w:lvl w:ilvl="0" w:tplc="7E5C2F00">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168E0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DA15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964C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1826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80C31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500D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60B4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C6CA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95028952">
    <w:abstractNumId w:val="0"/>
  </w:num>
  <w:num w:numId="2" w16cid:durableId="423695822">
    <w:abstractNumId w:val="2"/>
  </w:num>
  <w:num w:numId="3" w16cid:durableId="342319439">
    <w:abstractNumId w:val="5"/>
  </w:num>
  <w:num w:numId="4" w16cid:durableId="1517499553">
    <w:abstractNumId w:val="1"/>
  </w:num>
  <w:num w:numId="5" w16cid:durableId="1605839603">
    <w:abstractNumId w:val="3"/>
  </w:num>
  <w:num w:numId="6" w16cid:durableId="1826506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0AC"/>
    <w:rsid w:val="001E30AC"/>
    <w:rsid w:val="003C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E5F9"/>
  <w15:docId w15:val="{9F00DB28-2382-4F8E-A063-DF6C1242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9" w:line="230" w:lineRule="auto"/>
      <w:ind w:left="10" w:right="1"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C7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1920</Words>
  <Characters>10944</Characters>
  <Application>Microsoft Office Word</Application>
  <DocSecurity>0</DocSecurity>
  <Lines>91</Lines>
  <Paragraphs>25</Paragraphs>
  <ScaleCrop>false</ScaleCrop>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92010</dc:title>
  <dc:subject>92010</dc:subject>
  <dc:creator>RSV</dc:creator>
  <cp:keywords/>
  <cp:lastModifiedBy>William Walker</cp:lastModifiedBy>
  <cp:revision>3</cp:revision>
  <cp:lastPrinted>2023-02-21T15:09:00Z</cp:lastPrinted>
  <dcterms:created xsi:type="dcterms:W3CDTF">2023-02-21T15:09:00Z</dcterms:created>
  <dcterms:modified xsi:type="dcterms:W3CDTF">2023-02-21T15:09:00Z</dcterms:modified>
</cp:coreProperties>
</file>