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68" w:rsidRDefault="002A2968" w:rsidP="00157928">
      <w:pPr>
        <w:ind w:left="1440" w:hanging="1440"/>
        <w:rPr>
          <w:b/>
        </w:rPr>
      </w:pPr>
    </w:p>
    <w:p w:rsidR="002A2968" w:rsidRPr="002A2968" w:rsidRDefault="002A2968" w:rsidP="002A2968">
      <w:pPr>
        <w:spacing w:after="0" w:line="240" w:lineRule="auto"/>
        <w:jc w:val="center"/>
        <w:rPr>
          <w:rFonts w:ascii="Trebuchet MS" w:eastAsia="Times New Roman" w:hAnsi="Trebuchet MS" w:cs="Arial"/>
          <w:b/>
          <w:bCs/>
          <w:sz w:val="24"/>
          <w:szCs w:val="24"/>
        </w:rPr>
      </w:pPr>
      <w:r w:rsidRPr="002A2968">
        <w:rPr>
          <w:rFonts w:ascii="Trebuchet MS" w:eastAsia="Times New Roman" w:hAnsi="Trebuchet MS" w:cs="Arial"/>
          <w:b/>
          <w:bCs/>
          <w:sz w:val="24"/>
          <w:szCs w:val="24"/>
        </w:rPr>
        <w:t>North Little Rock Housing Authority</w:t>
      </w:r>
    </w:p>
    <w:p w:rsidR="002A2968" w:rsidRPr="002A2968" w:rsidRDefault="002A2968" w:rsidP="002A2968">
      <w:pPr>
        <w:spacing w:after="0" w:line="240" w:lineRule="auto"/>
        <w:jc w:val="center"/>
        <w:rPr>
          <w:rFonts w:ascii="Trebuchet MS" w:eastAsia="Times New Roman" w:hAnsi="Trebuchet MS" w:cs="Arial"/>
          <w:b/>
          <w:bCs/>
          <w:sz w:val="24"/>
          <w:szCs w:val="24"/>
        </w:rPr>
      </w:pPr>
    </w:p>
    <w:p w:rsidR="002A2968" w:rsidRPr="002A2968" w:rsidRDefault="002A2968" w:rsidP="002A2968">
      <w:pPr>
        <w:spacing w:after="0" w:line="240" w:lineRule="auto"/>
        <w:jc w:val="center"/>
        <w:rPr>
          <w:rFonts w:ascii="Trebuchet MS" w:eastAsia="Times New Roman" w:hAnsi="Trebuchet MS" w:cs="Arial"/>
          <w:b/>
          <w:bCs/>
          <w:sz w:val="24"/>
          <w:szCs w:val="24"/>
        </w:rPr>
      </w:pPr>
      <w:r w:rsidRPr="002A2968">
        <w:rPr>
          <w:rFonts w:ascii="Trebuchet MS" w:eastAsia="Times New Roman" w:hAnsi="Trebuchet MS" w:cs="Arial"/>
          <w:b/>
          <w:bCs/>
          <w:sz w:val="24"/>
          <w:szCs w:val="24"/>
        </w:rPr>
        <w:t xml:space="preserve">ADDENDUM NO. </w:t>
      </w:r>
      <w:r w:rsidR="00E95DED">
        <w:rPr>
          <w:rFonts w:ascii="Trebuchet MS" w:eastAsia="Times New Roman" w:hAnsi="Trebuchet MS" w:cs="Arial"/>
          <w:b/>
          <w:bCs/>
          <w:sz w:val="24"/>
          <w:szCs w:val="24"/>
        </w:rPr>
        <w:t>THREE (3)</w:t>
      </w:r>
    </w:p>
    <w:p w:rsidR="002A2968" w:rsidRPr="002A2968" w:rsidRDefault="002A2968" w:rsidP="002A2968">
      <w:pPr>
        <w:spacing w:after="0" w:line="240" w:lineRule="auto"/>
        <w:jc w:val="center"/>
        <w:rPr>
          <w:rFonts w:ascii="Trebuchet MS" w:eastAsia="Times New Roman" w:hAnsi="Trebuchet MS" w:cs="Arial"/>
          <w:b/>
          <w:bCs/>
          <w:sz w:val="24"/>
          <w:szCs w:val="24"/>
        </w:rPr>
      </w:pPr>
    </w:p>
    <w:p w:rsidR="002A2968" w:rsidRPr="002A2968" w:rsidRDefault="00E95DED" w:rsidP="002A2968">
      <w:pPr>
        <w:spacing w:after="0" w:line="240" w:lineRule="auto"/>
        <w:jc w:val="center"/>
        <w:rPr>
          <w:rFonts w:ascii="Trebuchet MS" w:eastAsia="Times New Roman" w:hAnsi="Trebuchet MS" w:cs="Arial"/>
          <w:b/>
          <w:bCs/>
          <w:sz w:val="24"/>
          <w:szCs w:val="24"/>
        </w:rPr>
      </w:pPr>
      <w:r>
        <w:rPr>
          <w:rFonts w:ascii="Trebuchet MS" w:eastAsia="Times New Roman" w:hAnsi="Trebuchet MS" w:cs="Arial"/>
          <w:b/>
          <w:bCs/>
          <w:sz w:val="24"/>
          <w:szCs w:val="24"/>
        </w:rPr>
        <w:t>October 1, 2018</w:t>
      </w:r>
    </w:p>
    <w:p w:rsidR="002A2968" w:rsidRPr="002A2968" w:rsidRDefault="002A2968" w:rsidP="002A2968">
      <w:pPr>
        <w:spacing w:after="0" w:line="240" w:lineRule="auto"/>
        <w:jc w:val="center"/>
        <w:rPr>
          <w:rFonts w:ascii="Trebuchet MS" w:eastAsia="Times New Roman" w:hAnsi="Trebuchet MS" w:cs="Arial"/>
          <w:bCs/>
          <w:sz w:val="24"/>
          <w:szCs w:val="24"/>
        </w:rPr>
      </w:pPr>
    </w:p>
    <w:p w:rsidR="002A2968" w:rsidRPr="002A2968" w:rsidRDefault="002A2968" w:rsidP="002A2968">
      <w:pPr>
        <w:spacing w:after="0" w:line="240" w:lineRule="auto"/>
        <w:rPr>
          <w:rFonts w:ascii="Trebuchet MS" w:eastAsia="Times New Roman" w:hAnsi="Trebuchet MS" w:cs="Arial"/>
          <w:b/>
          <w:bCs/>
          <w:sz w:val="24"/>
          <w:szCs w:val="24"/>
        </w:rPr>
      </w:pPr>
      <w:r w:rsidRPr="002A2968">
        <w:rPr>
          <w:rFonts w:ascii="Trebuchet MS" w:eastAsia="Times New Roman" w:hAnsi="Trebuchet MS" w:cs="Arial"/>
          <w:b/>
          <w:bCs/>
          <w:sz w:val="24"/>
          <w:szCs w:val="24"/>
        </w:rPr>
        <w:t>RFP DOCUMENT</w:t>
      </w:r>
    </w:p>
    <w:p w:rsidR="002A2968" w:rsidRPr="002A2968" w:rsidRDefault="002A2968" w:rsidP="002A2968">
      <w:pPr>
        <w:spacing w:after="0" w:line="240" w:lineRule="auto"/>
        <w:ind w:right="112"/>
        <w:jc w:val="both"/>
        <w:rPr>
          <w:rFonts w:ascii="Trebuchet MS" w:eastAsia="Trebuchet MS" w:hAnsi="Trebuchet MS" w:cs="Trebuchet MS"/>
          <w:b/>
        </w:rPr>
      </w:pPr>
    </w:p>
    <w:p w:rsidR="002A2968" w:rsidRPr="002A2968" w:rsidRDefault="007473BC" w:rsidP="002A2968">
      <w:pPr>
        <w:spacing w:after="0" w:line="240" w:lineRule="auto"/>
        <w:ind w:right="112"/>
        <w:jc w:val="both"/>
        <w:rPr>
          <w:rFonts w:ascii="Trebuchet MS" w:eastAsia="Trebuchet MS" w:hAnsi="Trebuchet MS" w:cs="Trebuchet MS"/>
        </w:rPr>
      </w:pPr>
      <w:r>
        <w:rPr>
          <w:rFonts w:ascii="Trebuchet MS" w:eastAsia="Trebuchet MS" w:hAnsi="Trebuchet MS" w:cs="Trebuchet MS"/>
          <w:b/>
        </w:rPr>
        <w:t xml:space="preserve">REPLACE </w:t>
      </w:r>
      <w:r w:rsidR="003D3536" w:rsidRPr="003D3536">
        <w:rPr>
          <w:rFonts w:ascii="Trebuchet MS" w:eastAsia="Trebuchet MS" w:hAnsi="Trebuchet MS" w:cs="Trebuchet MS"/>
        </w:rPr>
        <w:t>all references to “Percent” with “Dollars” under the U/M column i</w:t>
      </w:r>
      <w:r w:rsidRPr="003D3536">
        <w:rPr>
          <w:rFonts w:ascii="Trebuchet MS" w:eastAsia="Trebuchet MS" w:hAnsi="Trebuchet MS" w:cs="Trebuchet MS"/>
        </w:rPr>
        <w:t>n Section 3.2</w:t>
      </w:r>
      <w:r w:rsidR="003D3536" w:rsidRPr="003D3536">
        <w:rPr>
          <w:rFonts w:ascii="Trebuchet MS" w:eastAsia="Trebuchet MS" w:hAnsi="Trebuchet MS" w:cs="Trebuchet MS"/>
        </w:rPr>
        <w:t>,</w:t>
      </w:r>
      <w:r w:rsidRPr="003D3536">
        <w:rPr>
          <w:rFonts w:ascii="Trebuchet MS" w:eastAsia="Trebuchet MS" w:hAnsi="Trebuchet MS" w:cs="Trebuchet MS"/>
        </w:rPr>
        <w:t xml:space="preserve"> Table No. 5 in the IFB Document</w:t>
      </w:r>
      <w:r w:rsidR="003D3536">
        <w:rPr>
          <w:rFonts w:ascii="Trebuchet MS" w:eastAsia="Trebuchet MS" w:hAnsi="Trebuchet MS" w:cs="Trebuchet MS"/>
        </w:rPr>
        <w:t>.  The referenced changes will also be made on the bid website.</w:t>
      </w:r>
      <w:r>
        <w:rPr>
          <w:rFonts w:ascii="Trebuchet MS" w:eastAsia="Trebuchet MS" w:hAnsi="Trebuchet MS" w:cs="Trebuchet MS"/>
          <w:b/>
        </w:rPr>
        <w:t xml:space="preserve"> </w:t>
      </w:r>
    </w:p>
    <w:p w:rsidR="002A2968" w:rsidRDefault="002A2968" w:rsidP="00157928">
      <w:pPr>
        <w:ind w:left="1440" w:hanging="1440"/>
        <w:rPr>
          <w:b/>
        </w:rPr>
      </w:pPr>
    </w:p>
    <w:p w:rsidR="003D3536" w:rsidRDefault="003D3536" w:rsidP="00157928">
      <w:pPr>
        <w:ind w:left="1440" w:hanging="1440"/>
        <w:rPr>
          <w:b/>
        </w:rPr>
      </w:pPr>
    </w:p>
    <w:p w:rsidR="003D3536" w:rsidRDefault="003D3536" w:rsidP="003D3536">
      <w:pPr>
        <w:jc w:val="center"/>
        <w:rPr>
          <w:rFonts w:ascii="Trebuchet MS" w:hAnsi="Trebuchet MS" w:cs="Arial"/>
          <w:b/>
        </w:rPr>
      </w:pPr>
      <w:r w:rsidRPr="00222590">
        <w:rPr>
          <w:rFonts w:ascii="Trebuchet MS" w:hAnsi="Trebuchet MS" w:cs="Arial"/>
          <w:b/>
        </w:rPr>
        <w:t xml:space="preserve">END OF ADDENDUM NO. </w:t>
      </w:r>
      <w:r>
        <w:rPr>
          <w:rFonts w:ascii="Trebuchet MS" w:hAnsi="Trebuchet MS" w:cs="Arial"/>
          <w:b/>
        </w:rPr>
        <w:t>THREE</w:t>
      </w:r>
      <w:r w:rsidRPr="00222590">
        <w:rPr>
          <w:rFonts w:ascii="Trebuchet MS" w:hAnsi="Trebuchet MS" w:cs="Arial"/>
          <w:b/>
        </w:rPr>
        <w:t xml:space="preserve"> (</w:t>
      </w:r>
      <w:r>
        <w:rPr>
          <w:rFonts w:ascii="Trebuchet MS" w:hAnsi="Trebuchet MS" w:cs="Arial"/>
          <w:b/>
        </w:rPr>
        <w:t>3</w:t>
      </w:r>
      <w:r w:rsidRPr="00222590">
        <w:rPr>
          <w:rFonts w:ascii="Trebuchet MS" w:hAnsi="Trebuchet MS" w:cs="Arial"/>
          <w:b/>
        </w:rPr>
        <w:t>)</w:t>
      </w:r>
    </w:p>
    <w:p w:rsidR="003D3536" w:rsidRDefault="003D3536" w:rsidP="003D3536">
      <w:pPr>
        <w:ind w:right="376"/>
        <w:rPr>
          <w:rFonts w:ascii="Trebuchet MS" w:eastAsia="Trebuchet MS" w:hAnsi="Trebuchet MS" w:cs="Trebuchet MS"/>
          <w:b/>
          <w:spacing w:val="1"/>
        </w:rPr>
      </w:pPr>
    </w:p>
    <w:p w:rsidR="003D3536" w:rsidRDefault="003D3536" w:rsidP="003D3536">
      <w:pPr>
        <w:ind w:right="376"/>
        <w:rPr>
          <w:rFonts w:ascii="Trebuchet MS" w:eastAsia="Trebuchet MS" w:hAnsi="Trebuchet MS" w:cs="Trebuchet MS"/>
          <w:b/>
          <w:spacing w:val="1"/>
        </w:rPr>
      </w:pPr>
      <w:r w:rsidRPr="00F8387B">
        <w:rPr>
          <w:rFonts w:ascii="Trebuchet MS" w:eastAsia="Trebuchet MS" w:hAnsi="Trebuchet MS" w:cs="Trebuchet MS"/>
          <w:b/>
          <w:spacing w:val="1"/>
        </w:rPr>
        <w:t>ATTACHMENT</w:t>
      </w:r>
      <w:r>
        <w:rPr>
          <w:rFonts w:ascii="Trebuchet MS" w:eastAsia="Trebuchet MS" w:hAnsi="Trebuchet MS" w:cs="Trebuchet MS"/>
          <w:b/>
          <w:spacing w:val="1"/>
        </w:rPr>
        <w:t>S</w:t>
      </w:r>
    </w:p>
    <w:p w:rsidR="003D3536" w:rsidRDefault="003D3536" w:rsidP="003D3536">
      <w:pPr>
        <w:ind w:right="376"/>
        <w:rPr>
          <w:rFonts w:ascii="Trebuchet MS" w:eastAsia="Trebuchet MS" w:hAnsi="Trebuchet MS" w:cs="Trebuchet MS"/>
        </w:rPr>
      </w:pPr>
      <w:r>
        <w:rPr>
          <w:rFonts w:ascii="Trebuchet MS" w:eastAsia="Trebuchet MS" w:hAnsi="Trebuchet MS" w:cs="Trebuchet MS"/>
          <w:spacing w:val="1"/>
        </w:rPr>
        <w:t>Attachment No. 1</w:t>
      </w:r>
      <w:r>
        <w:rPr>
          <w:rFonts w:ascii="Trebuchet MS" w:eastAsia="Trebuchet MS" w:hAnsi="Trebuchet MS" w:cs="Trebuchet MS"/>
          <w:spacing w:val="1"/>
        </w:rPr>
        <w:tab/>
        <w:t>Questions and Answers</w:t>
      </w:r>
    </w:p>
    <w:p w:rsidR="003D3536" w:rsidRDefault="003D3536" w:rsidP="00157928">
      <w:pPr>
        <w:ind w:left="1440" w:hanging="1440"/>
        <w:rPr>
          <w:b/>
        </w:rPr>
        <w:sectPr w:rsidR="003D3536" w:rsidSect="002A2968">
          <w:headerReference w:type="default" r:id="rId8"/>
          <w:footerReference w:type="default" r:id="rId9"/>
          <w:pgSz w:w="12240" w:h="15840"/>
          <w:pgMar w:top="1440" w:right="1440" w:bottom="1440" w:left="1440" w:header="720" w:footer="0" w:gutter="0"/>
          <w:cols w:space="720"/>
          <w:docGrid w:linePitch="360"/>
        </w:sectPr>
      </w:pPr>
    </w:p>
    <w:p w:rsidR="002A2968" w:rsidRDefault="002A2968" w:rsidP="002A2968">
      <w:pPr>
        <w:jc w:val="center"/>
        <w:rPr>
          <w:rFonts w:ascii="Trebuchet MS" w:hAnsi="Trebuchet MS" w:cs="Arial"/>
          <w:b/>
        </w:rPr>
      </w:pPr>
      <w:r>
        <w:rPr>
          <w:rFonts w:ascii="Trebuchet MS" w:hAnsi="Trebuchet MS" w:cs="Arial"/>
          <w:b/>
        </w:rPr>
        <w:lastRenderedPageBreak/>
        <w:t>QUESTIONS &amp; ANSWERS</w:t>
      </w:r>
    </w:p>
    <w:p w:rsidR="002A2968" w:rsidRDefault="002A2968" w:rsidP="002A2968">
      <w:pPr>
        <w:jc w:val="center"/>
        <w:rPr>
          <w:rFonts w:ascii="Trebuchet MS" w:hAnsi="Trebuchet MS" w:cs="Arial"/>
          <w:b/>
        </w:rPr>
      </w:pPr>
      <w:r>
        <w:rPr>
          <w:rFonts w:ascii="Trebuchet MS" w:hAnsi="Trebuchet MS" w:cs="Arial"/>
          <w:b/>
        </w:rPr>
        <w:t>Attachment No. 1</w:t>
      </w:r>
    </w:p>
    <w:p w:rsidR="00157928" w:rsidRDefault="00B64D2E" w:rsidP="00157928">
      <w:pPr>
        <w:ind w:left="1440" w:hanging="1440"/>
      </w:pPr>
      <w:r w:rsidRPr="00157928">
        <w:rPr>
          <w:b/>
        </w:rPr>
        <w:t>Question</w:t>
      </w:r>
      <w:r>
        <w:t xml:space="preserve">:  </w:t>
      </w:r>
      <w:r w:rsidR="00157928">
        <w:tab/>
      </w:r>
      <w:r>
        <w:t xml:space="preserve">How much </w:t>
      </w:r>
      <w:r w:rsidR="008733EE">
        <w:t xml:space="preserve">was last year's spend with the successful bidders and what is the expected spend for 2019? </w:t>
      </w:r>
    </w:p>
    <w:p w:rsidR="008733EE" w:rsidRDefault="00157928" w:rsidP="00157928">
      <w:pPr>
        <w:ind w:left="1440" w:hanging="1440"/>
      </w:pPr>
      <w:r w:rsidRPr="00157928">
        <w:rPr>
          <w:b/>
        </w:rPr>
        <w:t>Answer</w:t>
      </w:r>
      <w:r>
        <w:t xml:space="preserve">:  </w:t>
      </w:r>
      <w:r>
        <w:tab/>
      </w:r>
      <w:r w:rsidR="00B64D2E">
        <w:t xml:space="preserve">The contract period ending in 2017, the NLRHA spent over $50,000 in temporary staffing services.  In 2018 under $25,000 was spent.  </w:t>
      </w:r>
      <w:r>
        <w:t xml:space="preserve"> </w:t>
      </w:r>
      <w:r w:rsidR="004E21D5">
        <w:t>The need for services periodically varies t</w:t>
      </w:r>
      <w:r>
        <w:t>he</w:t>
      </w:r>
      <w:r w:rsidR="004E21D5">
        <w:t>refore</w:t>
      </w:r>
      <w:r>
        <w:t xml:space="preserve"> NLRHA has not forecasted an amount for </w:t>
      </w:r>
      <w:r w:rsidR="004E21D5">
        <w:t>2019.</w:t>
      </w:r>
      <w:r>
        <w:t xml:space="preserve"> </w:t>
      </w:r>
    </w:p>
    <w:p w:rsidR="008733EE" w:rsidRDefault="008733EE"/>
    <w:p w:rsidR="008733EE" w:rsidRDefault="004E21D5" w:rsidP="004E21D5">
      <w:pPr>
        <w:ind w:left="1440" w:hanging="1440"/>
      </w:pPr>
      <w:r w:rsidRPr="004E21D5">
        <w:rPr>
          <w:b/>
        </w:rPr>
        <w:t>Question</w:t>
      </w:r>
      <w:r>
        <w:t xml:space="preserve">: </w:t>
      </w:r>
      <w:r>
        <w:tab/>
      </w:r>
      <w:r w:rsidR="008733EE">
        <w:t xml:space="preserve">Will NLRHA provide a breakdown of the </w:t>
      </w:r>
      <w:r>
        <w:t>utilization</w:t>
      </w:r>
      <w:r w:rsidR="008733EE">
        <w:t xml:space="preserve"> per category Example: Spend for Administrative, Industrial/Maintenance and more? </w:t>
      </w:r>
    </w:p>
    <w:p w:rsidR="004E21D5" w:rsidRDefault="004E21D5" w:rsidP="004E21D5">
      <w:pPr>
        <w:ind w:left="1440" w:hanging="1440"/>
      </w:pPr>
      <w:r w:rsidRPr="004E21D5">
        <w:rPr>
          <w:b/>
        </w:rPr>
        <w:t>Answer</w:t>
      </w:r>
      <w:r>
        <w:t>:</w:t>
      </w:r>
      <w:r>
        <w:tab/>
        <w:t>No. A breakdown is not available.</w:t>
      </w:r>
    </w:p>
    <w:p w:rsidR="00155794" w:rsidRDefault="00155794" w:rsidP="004E21D5">
      <w:pPr>
        <w:ind w:left="1440" w:hanging="1440"/>
      </w:pPr>
    </w:p>
    <w:p w:rsidR="008733EE" w:rsidRDefault="00155794" w:rsidP="00155794">
      <w:pPr>
        <w:ind w:left="1440" w:hanging="1440"/>
      </w:pPr>
      <w:r w:rsidRPr="00155794">
        <w:rPr>
          <w:b/>
        </w:rPr>
        <w:t>Question</w:t>
      </w:r>
      <w:r>
        <w:t>:</w:t>
      </w:r>
      <w:r>
        <w:tab/>
      </w:r>
      <w:r w:rsidR="008733EE">
        <w:t xml:space="preserve">Will NLRHA accept Notice of Assignments? </w:t>
      </w:r>
    </w:p>
    <w:p w:rsidR="008B6583" w:rsidRDefault="00155794" w:rsidP="00155794">
      <w:pPr>
        <w:ind w:left="1440" w:hanging="1440"/>
      </w:pPr>
      <w:r w:rsidRPr="00155794">
        <w:rPr>
          <w:b/>
        </w:rPr>
        <w:t>Answer</w:t>
      </w:r>
      <w:r>
        <w:t>:</w:t>
      </w:r>
      <w:r>
        <w:tab/>
        <w:t>The NLRHA contract will be with the awarded contractor.  The contractor may submit their process or procedures in their proposal for review.</w:t>
      </w:r>
    </w:p>
    <w:p w:rsidR="00155794" w:rsidRDefault="00155794" w:rsidP="00155794">
      <w:pPr>
        <w:ind w:left="1440" w:hanging="1440"/>
      </w:pPr>
    </w:p>
    <w:p w:rsidR="004E21D5" w:rsidRDefault="004E21D5" w:rsidP="000B3D85">
      <w:pPr>
        <w:ind w:left="1440" w:hanging="1440"/>
      </w:pPr>
      <w:r w:rsidRPr="000B3D85">
        <w:rPr>
          <w:b/>
        </w:rPr>
        <w:t>Question</w:t>
      </w:r>
      <w:r w:rsidR="000B3D85">
        <w:t xml:space="preserve">:  </w:t>
      </w:r>
      <w:r w:rsidR="000B3D85">
        <w:tab/>
      </w:r>
      <w:r w:rsidR="008733EE">
        <w:t xml:space="preserve">Does an out-of-state company need to provide a business license for services with the bid or upon the intent to award? </w:t>
      </w:r>
    </w:p>
    <w:p w:rsidR="000B3D85" w:rsidRDefault="000B3D85" w:rsidP="000B3D85">
      <w:pPr>
        <w:ind w:left="1440" w:hanging="1440"/>
      </w:pPr>
      <w:r w:rsidRPr="000B3D85">
        <w:rPr>
          <w:b/>
        </w:rPr>
        <w:t xml:space="preserve">Answer:  </w:t>
      </w:r>
      <w:r>
        <w:rPr>
          <w:b/>
        </w:rPr>
        <w:tab/>
      </w:r>
      <w:r>
        <w:t>Please see Section 5.4 if the IFB document.</w:t>
      </w:r>
    </w:p>
    <w:p w:rsidR="00155794" w:rsidRDefault="00155794" w:rsidP="000B3D85">
      <w:pPr>
        <w:ind w:left="1440" w:hanging="1440"/>
        <w:rPr>
          <w:b/>
        </w:rPr>
      </w:pPr>
    </w:p>
    <w:p w:rsidR="008733EE" w:rsidRDefault="000B3D85" w:rsidP="000B3D85">
      <w:pPr>
        <w:ind w:left="1440" w:hanging="1440"/>
      </w:pPr>
      <w:r w:rsidRPr="00017239">
        <w:rPr>
          <w:b/>
        </w:rPr>
        <w:t>Question</w:t>
      </w:r>
      <w:r>
        <w:t>:</w:t>
      </w:r>
      <w:r>
        <w:tab/>
      </w:r>
      <w:r w:rsidR="008733EE">
        <w:t xml:space="preserve">Will NLRHA allow a weekly electronic submission of time sheets to temporary worker's supervisor in lieu of paper time sheet and temporary worker's supervisor fill in the hours worked per day, signed (by supervisor and employee), dated and returned the next Monday electronically by or before 9:00 AM Central Time?  </w:t>
      </w:r>
    </w:p>
    <w:p w:rsidR="0045520B" w:rsidRDefault="0045520B" w:rsidP="000B3D85">
      <w:pPr>
        <w:ind w:left="1440" w:hanging="1440"/>
      </w:pPr>
      <w:r w:rsidRPr="00017239">
        <w:rPr>
          <w:b/>
        </w:rPr>
        <w:t>Answer</w:t>
      </w:r>
      <w:r>
        <w:t>:</w:t>
      </w:r>
      <w:r>
        <w:tab/>
        <w:t>Yes.  An electronic time sheet is acceptable</w:t>
      </w:r>
      <w:r w:rsidR="00017239">
        <w:t xml:space="preserve"> in lieu of a paper timesheet</w:t>
      </w:r>
      <w:r>
        <w:t xml:space="preserve">.  </w:t>
      </w:r>
      <w:r w:rsidR="00017239">
        <w:t xml:space="preserve">Time sheets will be submitted on a weekly basis.  </w:t>
      </w:r>
      <w:r>
        <w:t>However</w:t>
      </w:r>
      <w:r w:rsidR="00017239">
        <w:t>, the awarded contractor(s) may have to work with NLRHA staff to determine a timeframe for submission.</w:t>
      </w:r>
    </w:p>
    <w:p w:rsidR="00B231A4" w:rsidRDefault="00B231A4" w:rsidP="00017239">
      <w:pPr>
        <w:ind w:left="1440" w:hanging="1440"/>
        <w:rPr>
          <w:b/>
        </w:rPr>
      </w:pPr>
    </w:p>
    <w:p w:rsidR="00B64D2E" w:rsidRDefault="00017239" w:rsidP="00017239">
      <w:pPr>
        <w:ind w:left="1440" w:hanging="1440"/>
      </w:pPr>
      <w:r w:rsidRPr="00017239">
        <w:rPr>
          <w:b/>
        </w:rPr>
        <w:t>Question</w:t>
      </w:r>
      <w:r>
        <w:t>:</w:t>
      </w:r>
      <w:r>
        <w:tab/>
      </w:r>
      <w:r w:rsidR="008733EE">
        <w:t xml:space="preserve">Does NLRHA expect any active contingent personnel to be transitioned to the new talent supplier? </w:t>
      </w:r>
    </w:p>
    <w:p w:rsidR="00017239" w:rsidRPr="00017239" w:rsidRDefault="00017239" w:rsidP="00017239">
      <w:pPr>
        <w:ind w:left="1440" w:hanging="1440"/>
      </w:pPr>
      <w:r>
        <w:rPr>
          <w:b/>
        </w:rPr>
        <w:t>Answer</w:t>
      </w:r>
      <w:r w:rsidRPr="00017239">
        <w:t>:</w:t>
      </w:r>
      <w:r>
        <w:tab/>
      </w:r>
      <w:r w:rsidR="00155794">
        <w:t xml:space="preserve">No. </w:t>
      </w:r>
    </w:p>
    <w:p w:rsidR="00B64D2E" w:rsidRDefault="00B64D2E">
      <w:bookmarkStart w:id="0" w:name="_GoBack"/>
      <w:bookmarkEnd w:id="0"/>
    </w:p>
    <w:p w:rsidR="00991DD7" w:rsidRDefault="00991DD7">
      <w:r w:rsidRPr="002A2968">
        <w:rPr>
          <w:b/>
        </w:rPr>
        <w:t>Question</w:t>
      </w:r>
      <w:r>
        <w:t>:</w:t>
      </w:r>
      <w:r>
        <w:tab/>
      </w:r>
      <w:r w:rsidR="008733EE">
        <w:t xml:space="preserve"> What are NLRHA primary business drivers and current pain points?</w:t>
      </w:r>
    </w:p>
    <w:p w:rsidR="00991DD7" w:rsidRDefault="00991DD7" w:rsidP="00991DD7">
      <w:pPr>
        <w:ind w:left="1440" w:hanging="1440"/>
      </w:pPr>
      <w:r w:rsidRPr="002A2968">
        <w:rPr>
          <w:b/>
        </w:rPr>
        <w:t>Answer</w:t>
      </w:r>
      <w:r>
        <w:t>:</w:t>
      </w:r>
      <w:r>
        <w:tab/>
        <w:t>The NLRHA’s primary business driver is to provide decent, safe, and sanitary housing as effectively and efficiently as possible.</w:t>
      </w:r>
      <w:r w:rsidR="00B231A4">
        <w:t xml:space="preserve">  Non- compliance with the aforementioned is the pain point for the housing authority.</w:t>
      </w:r>
    </w:p>
    <w:p w:rsidR="008733EE" w:rsidRDefault="008733EE"/>
    <w:p w:rsidR="002A2968" w:rsidRDefault="002A2968" w:rsidP="002A2968">
      <w:pPr>
        <w:ind w:left="1440" w:hanging="1440"/>
      </w:pPr>
      <w:r w:rsidRPr="001D0C28">
        <w:rPr>
          <w:b/>
        </w:rPr>
        <w:t>Question</w:t>
      </w:r>
      <w:r>
        <w:t>:</w:t>
      </w:r>
      <w:r>
        <w:tab/>
      </w:r>
      <w:r w:rsidR="008733EE">
        <w:t>If the selection of a company is not the prime bidder, can the company opt-out as a subcontractor?</w:t>
      </w:r>
    </w:p>
    <w:p w:rsidR="008733EE" w:rsidRDefault="002A2968" w:rsidP="002A2968">
      <w:pPr>
        <w:ind w:left="1440" w:hanging="1440"/>
      </w:pPr>
      <w:r w:rsidRPr="001D0C28">
        <w:rPr>
          <w:b/>
        </w:rPr>
        <w:t>Answer</w:t>
      </w:r>
      <w:r>
        <w:t>:</w:t>
      </w:r>
      <w:r>
        <w:tab/>
        <w:t>Please refer to Section 2.3.5 of the “Instruction to Bidders and Contractors” (ITBC)</w:t>
      </w:r>
      <w:r w:rsidR="008733EE">
        <w:br/>
      </w:r>
    </w:p>
    <w:sectPr w:rsidR="008733EE" w:rsidSect="00E95DED">
      <w:footerReference w:type="default" r:id="rId10"/>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E30" w:rsidRDefault="00B57E30" w:rsidP="002A2968">
      <w:pPr>
        <w:spacing w:after="0" w:line="240" w:lineRule="auto"/>
      </w:pPr>
      <w:r>
        <w:separator/>
      </w:r>
    </w:p>
  </w:endnote>
  <w:endnote w:type="continuationSeparator" w:id="0">
    <w:p w:rsidR="00B57E30" w:rsidRDefault="00B57E30" w:rsidP="002A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68" w:rsidRPr="001C62BA" w:rsidRDefault="002A2968" w:rsidP="002A2968">
    <w:pPr>
      <w:pStyle w:val="Footer"/>
      <w:jc w:val="center"/>
      <w:rPr>
        <w:rFonts w:ascii="Trebuchet MS" w:hAnsi="Trebuchet MS"/>
      </w:rPr>
    </w:pPr>
    <w:r>
      <w:rPr>
        <w:rFonts w:ascii="Trebuchet MS" w:hAnsi="Trebuchet MS"/>
        <w:noProof/>
        <w:sz w:val="16"/>
        <w:szCs w:val="16"/>
      </w:rPr>
      <mc:AlternateContent>
        <mc:Choice Requires="wpg">
          <w:drawing>
            <wp:anchor distT="0" distB="0" distL="114300" distR="114300" simplePos="0" relativeHeight="251659264" behindDoc="1" locked="0" layoutInCell="1" allowOverlap="1" wp14:anchorId="74820F4F" wp14:editId="3C923286">
              <wp:simplePos x="0" y="0"/>
              <wp:positionH relativeFrom="page">
                <wp:posOffset>979805</wp:posOffset>
              </wp:positionH>
              <wp:positionV relativeFrom="page">
                <wp:posOffset>8848725</wp:posOffset>
              </wp:positionV>
              <wp:extent cx="6347460" cy="443865"/>
              <wp:effectExtent l="0" t="0" r="152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347460" cy="443865"/>
                        <a:chOff x="1123" y="14875"/>
                        <a:chExt cx="9996" cy="0"/>
                      </a:xfrm>
                    </wpg:grpSpPr>
                    <wps:wsp>
                      <wps:cNvPr id="2" name="Freeform 2"/>
                      <wps:cNvSpPr>
                        <a:spLocks/>
                      </wps:cNvSpPr>
                      <wps:spPr bwMode="auto">
                        <a:xfrm>
                          <a:off x="1123" y="14875"/>
                          <a:ext cx="9996" cy="0"/>
                        </a:xfrm>
                        <a:custGeom>
                          <a:avLst/>
                          <a:gdLst>
                            <a:gd name="T0" fmla="+- 0 1123 1123"/>
                            <a:gd name="T1" fmla="*/ T0 w 9996"/>
                            <a:gd name="T2" fmla="+- 0 11119 1123"/>
                            <a:gd name="T3" fmla="*/ T2 w 9996"/>
                          </a:gdLst>
                          <a:ahLst/>
                          <a:cxnLst>
                            <a:cxn ang="0">
                              <a:pos x="T1" y="0"/>
                            </a:cxn>
                            <a:cxn ang="0">
                              <a:pos x="T3" y="0"/>
                            </a:cxn>
                          </a:cxnLst>
                          <a:rect l="0" t="0" r="r" b="b"/>
                          <a:pathLst>
                            <a:path w="9996">
                              <a:moveTo>
                                <a:pt x="0" y="0"/>
                              </a:moveTo>
                              <a:lnTo>
                                <a:pt x="999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77.15pt;margin-top:696.75pt;width:499.8pt;height:34.95pt;flip:y;z-index:-251657216;mso-position-horizontal-relative:page;mso-position-vertical-relative:page" coordorigin="1123,14875" coordsize="9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">
              <v:shape id="Freeform 2" o:spid="_x0000_s1027" style="position:absolute;left:1123;top:14875;width:9996;height:0;visibility:visible;mso-wrap-style:square;v-text-anchor:top" coordsize="99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TEMEA&#10;AADaAAAADwAAAGRycy9kb3ducmV2LnhtbESP0YrCMBRE3wX/IVxh3zRVQbQaRWUXfJAVqx9waa5t&#10;MbkpTWy7f28WFvZxmJkzzGbXWyNaanzlWMF0koAgzp2uuFBwv32NlyB8QNZoHJOCH/Kw2w4HG0y1&#10;6/hKbRYKESHsU1RQhlCnUvq8JIt+4mri6D1cYzFE2RRSN9hFuDVyliQLabHiuFBiTceS8mf2sgq6&#10;9mgu8tOcu0OYr6yeGzP9Nkp9jPr9GkSgPvyH/9onrWAGv1fiDZ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n0xDBAAAA2gAAAA8AAAAAAAAAAAAAAAAAmAIAAGRycy9kb3du&#10;cmV2LnhtbFBLBQYAAAAABAAEAPUAAACGAwAAAAA=&#10;" path="m,l9996,e" filled="f" strokeweight="1.54pt">
                <v:path arrowok="t" o:connecttype="custom" o:connectlocs="0,0;9996,0" o:connectangles="0,0"/>
              </v:shape>
              <w10:wrap anchorx="page" anchory="page"/>
            </v:group>
          </w:pict>
        </mc:Fallback>
      </mc:AlternateContent>
    </w:r>
    <w:r w:rsidRPr="001C62BA">
      <w:rPr>
        <w:rFonts w:ascii="Trebuchet MS" w:hAnsi="Trebuchet MS"/>
      </w:rPr>
      <w:t>NORTH LITTLE ROCK HOUSING AUTHORITY</w:t>
    </w:r>
  </w:p>
  <w:p w:rsidR="002A2968" w:rsidRDefault="002A2968" w:rsidP="002A2968">
    <w:pPr>
      <w:pStyle w:val="Footer"/>
      <w:jc w:val="right"/>
      <w:rPr>
        <w:rFonts w:ascii="Trebuchet MS" w:hAnsi="Trebuchet MS"/>
        <w:sz w:val="16"/>
        <w:szCs w:val="16"/>
      </w:rPr>
    </w:pPr>
  </w:p>
  <w:p w:rsidR="002A2968" w:rsidRPr="001C62BA" w:rsidRDefault="002A2968" w:rsidP="002A2968">
    <w:pPr>
      <w:pStyle w:val="Footer"/>
      <w:jc w:val="right"/>
      <w:rPr>
        <w:rFonts w:ascii="Trebuchet MS" w:hAnsi="Trebuchet MS"/>
        <w:noProof/>
        <w:sz w:val="16"/>
        <w:szCs w:val="16"/>
      </w:rPr>
    </w:pPr>
    <w:r w:rsidRPr="001C62BA">
      <w:rPr>
        <w:rFonts w:ascii="Trebuchet MS" w:hAnsi="Trebuchet MS"/>
        <w:sz w:val="16"/>
        <w:szCs w:val="16"/>
      </w:rPr>
      <w:t xml:space="preserve">Page </w:t>
    </w:r>
    <w:r w:rsidRPr="001C62BA">
      <w:rPr>
        <w:rFonts w:ascii="Trebuchet MS" w:hAnsi="Trebuchet MS"/>
        <w:sz w:val="16"/>
        <w:szCs w:val="16"/>
      </w:rPr>
      <w:fldChar w:fldCharType="begin"/>
    </w:r>
    <w:r w:rsidRPr="001C62BA">
      <w:rPr>
        <w:rFonts w:ascii="Trebuchet MS" w:hAnsi="Trebuchet MS"/>
        <w:sz w:val="16"/>
        <w:szCs w:val="16"/>
      </w:rPr>
      <w:instrText xml:space="preserve"> PAGE   \* MERGEFORMAT </w:instrText>
    </w:r>
    <w:r w:rsidRPr="001C62BA">
      <w:rPr>
        <w:rFonts w:ascii="Trebuchet MS" w:hAnsi="Trebuchet MS"/>
        <w:sz w:val="16"/>
        <w:szCs w:val="16"/>
      </w:rPr>
      <w:fldChar w:fldCharType="separate"/>
    </w:r>
    <w:r w:rsidR="00B57E30">
      <w:rPr>
        <w:rFonts w:ascii="Trebuchet MS" w:hAnsi="Trebuchet MS"/>
        <w:noProof/>
        <w:sz w:val="16"/>
        <w:szCs w:val="16"/>
      </w:rPr>
      <w:t>1</w:t>
    </w:r>
    <w:r w:rsidRPr="001C62BA">
      <w:rPr>
        <w:rFonts w:ascii="Trebuchet MS" w:hAnsi="Trebuchet MS"/>
        <w:noProof/>
        <w:sz w:val="16"/>
        <w:szCs w:val="16"/>
      </w:rPr>
      <w:fldChar w:fldCharType="end"/>
    </w:r>
  </w:p>
  <w:p w:rsidR="002A2968" w:rsidRPr="001C62BA" w:rsidRDefault="002A2968" w:rsidP="002A2968">
    <w:pPr>
      <w:pStyle w:val="Footer"/>
      <w:jc w:val="right"/>
      <w:rPr>
        <w:rFonts w:ascii="Trebuchet MS" w:hAnsi="Trebuchet MS"/>
        <w:noProof/>
        <w:sz w:val="16"/>
        <w:szCs w:val="16"/>
      </w:rPr>
    </w:pPr>
    <w:r w:rsidRPr="001C62BA">
      <w:rPr>
        <w:rFonts w:ascii="Trebuchet MS" w:hAnsi="Trebuchet MS"/>
        <w:noProof/>
        <w:sz w:val="16"/>
        <w:szCs w:val="16"/>
      </w:rPr>
      <w:t>RFP No. 1</w:t>
    </w:r>
    <w:r w:rsidR="00E95DED">
      <w:rPr>
        <w:rFonts w:ascii="Trebuchet MS" w:hAnsi="Trebuchet MS"/>
        <w:noProof/>
        <w:sz w:val="16"/>
        <w:szCs w:val="16"/>
      </w:rPr>
      <w:t>8</w:t>
    </w:r>
    <w:r w:rsidRPr="001C62BA">
      <w:rPr>
        <w:rFonts w:ascii="Trebuchet MS" w:hAnsi="Trebuchet MS"/>
        <w:noProof/>
        <w:sz w:val="16"/>
        <w:szCs w:val="16"/>
      </w:rPr>
      <w:t>-0</w:t>
    </w:r>
    <w:r w:rsidR="00E95DED">
      <w:rPr>
        <w:rFonts w:ascii="Trebuchet MS" w:hAnsi="Trebuchet MS"/>
        <w:noProof/>
        <w:sz w:val="16"/>
        <w:szCs w:val="16"/>
      </w:rPr>
      <w:t>51</w:t>
    </w:r>
    <w:r w:rsidRPr="001C62BA">
      <w:rPr>
        <w:rFonts w:ascii="Trebuchet MS" w:hAnsi="Trebuchet MS"/>
        <w:noProof/>
        <w:sz w:val="16"/>
        <w:szCs w:val="16"/>
      </w:rPr>
      <w:t>-</w:t>
    </w:r>
    <w:r w:rsidR="00E95DED">
      <w:rPr>
        <w:rFonts w:ascii="Trebuchet MS" w:hAnsi="Trebuchet MS"/>
        <w:noProof/>
        <w:sz w:val="16"/>
        <w:szCs w:val="16"/>
      </w:rPr>
      <w:t>B</w:t>
    </w:r>
  </w:p>
  <w:p w:rsidR="002A2968" w:rsidRPr="001C62BA" w:rsidRDefault="002A2968" w:rsidP="002A2968">
    <w:pPr>
      <w:pStyle w:val="Footer"/>
      <w:jc w:val="right"/>
      <w:rPr>
        <w:rFonts w:ascii="Trebuchet MS" w:hAnsi="Trebuchet MS"/>
        <w:sz w:val="16"/>
        <w:szCs w:val="16"/>
      </w:rPr>
    </w:pPr>
    <w:r w:rsidRPr="001C62BA">
      <w:rPr>
        <w:rFonts w:ascii="Trebuchet MS" w:hAnsi="Trebuchet MS"/>
        <w:noProof/>
        <w:sz w:val="16"/>
        <w:szCs w:val="16"/>
      </w:rPr>
      <w:t xml:space="preserve">Addendum No. </w:t>
    </w:r>
    <w:r w:rsidR="00E95DED">
      <w:rPr>
        <w:rFonts w:ascii="Trebuchet MS" w:hAnsi="Trebuchet MS"/>
        <w:noProof/>
        <w:sz w:val="16"/>
        <w:szCs w:val="16"/>
      </w:rPr>
      <w:t>3</w:t>
    </w:r>
  </w:p>
  <w:p w:rsidR="002A2968" w:rsidRPr="0092403B" w:rsidRDefault="002A2968" w:rsidP="002A2968">
    <w:pPr>
      <w:pStyle w:val="Footer"/>
      <w:rPr>
        <w:rFonts w:ascii="Trebuchet MS" w:hAnsi="Trebuchet MS"/>
        <w:sz w:val="20"/>
        <w:szCs w:val="20"/>
      </w:rPr>
    </w:pPr>
  </w:p>
  <w:p w:rsidR="002A2968" w:rsidRDefault="002A29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ED" w:rsidRDefault="00E95DED" w:rsidP="00E95DED">
    <w:pPr>
      <w:pStyle w:val="Footer"/>
      <w:jc w:val="center"/>
      <w:rPr>
        <w:rFonts w:ascii="Trebuchet MS" w:hAnsi="Trebuchet MS"/>
      </w:rPr>
    </w:pPr>
  </w:p>
  <w:p w:rsidR="00E95DED" w:rsidRDefault="00E95DED" w:rsidP="00E95DED">
    <w:pPr>
      <w:pStyle w:val="Footer"/>
      <w:jc w:val="center"/>
      <w:rPr>
        <w:rFonts w:ascii="Trebuchet MS" w:hAnsi="Trebuchet MS"/>
      </w:rPr>
    </w:pPr>
    <w:r>
      <w:rPr>
        <w:rFonts w:ascii="Trebuchet MS" w:hAnsi="Trebuchet MS"/>
        <w:noProof/>
        <w:sz w:val="16"/>
        <w:szCs w:val="16"/>
      </w:rPr>
      <mc:AlternateContent>
        <mc:Choice Requires="wpg">
          <w:drawing>
            <wp:anchor distT="0" distB="0" distL="114300" distR="114300" simplePos="0" relativeHeight="251661312" behindDoc="1" locked="0" layoutInCell="1" allowOverlap="1" wp14:anchorId="2940159D" wp14:editId="1A89F630">
              <wp:simplePos x="0" y="0"/>
              <wp:positionH relativeFrom="page">
                <wp:posOffset>1047750</wp:posOffset>
              </wp:positionH>
              <wp:positionV relativeFrom="page">
                <wp:posOffset>9076690</wp:posOffset>
              </wp:positionV>
              <wp:extent cx="6347460" cy="81915"/>
              <wp:effectExtent l="0" t="0" r="1524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347460" cy="81915"/>
                        <a:chOff x="1123" y="14875"/>
                        <a:chExt cx="9996" cy="0"/>
                      </a:xfrm>
                    </wpg:grpSpPr>
                    <wps:wsp>
                      <wps:cNvPr id="10" name="Freeform 10"/>
                      <wps:cNvSpPr>
                        <a:spLocks/>
                      </wps:cNvSpPr>
                      <wps:spPr bwMode="auto">
                        <a:xfrm>
                          <a:off x="1123" y="14875"/>
                          <a:ext cx="9996" cy="0"/>
                        </a:xfrm>
                        <a:custGeom>
                          <a:avLst/>
                          <a:gdLst>
                            <a:gd name="T0" fmla="+- 0 1123 1123"/>
                            <a:gd name="T1" fmla="*/ T0 w 9996"/>
                            <a:gd name="T2" fmla="+- 0 11119 1123"/>
                            <a:gd name="T3" fmla="*/ T2 w 9996"/>
                          </a:gdLst>
                          <a:ahLst/>
                          <a:cxnLst>
                            <a:cxn ang="0">
                              <a:pos x="T1" y="0"/>
                            </a:cxn>
                            <a:cxn ang="0">
                              <a:pos x="T3" y="0"/>
                            </a:cxn>
                          </a:cxnLst>
                          <a:rect l="0" t="0" r="r" b="b"/>
                          <a:pathLst>
                            <a:path w="9996">
                              <a:moveTo>
                                <a:pt x="0" y="0"/>
                              </a:moveTo>
                              <a:lnTo>
                                <a:pt x="999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82.5pt;margin-top:714.7pt;width:499.8pt;height:6.45pt;flip:y;z-index:-251655168;mso-position-horizontal-relative:page;mso-position-vertical-relative:page" coordorigin="1123,14875" coordsize="99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">
              <v:shape id="Freeform 10" o:spid="_x0000_s1027" style="position:absolute;left:1123;top:14875;width:9996;height:0;visibility:visible;mso-wrap-style:square;v-text-anchor:top" coordsize="99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36cIA&#10;AADbAAAADwAAAGRycy9kb3ducmV2LnhtbESPQWvCQBCF74L/YRnBW92oUNrUVaooeChK1R8wZKdJ&#10;6O5syK5J/PedQ8HbDO/Ne9+sNoN3qqM21oENzGcZKOIi2JpLA7fr4eUNVEzIFl1gMvCgCJv1eLTC&#10;3Iaev6m7pFJJCMccDVQpNbnWsajIY5yFhli0n9B6TLK2pbYt9hLunV5k2av2WLM0VNjQrqLi93L3&#10;Bvpu58567776bVq+e7t0bn5yxkwnw+cHqERDepr/r49W8IVefpEB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DfpwgAAANsAAAAPAAAAAAAAAAAAAAAAAJgCAABkcnMvZG93&#10;bnJldi54bWxQSwUGAAAAAAQABAD1AAAAhwMAAAAA&#10;" path="m,l9996,e" filled="f" strokeweight="1.54pt">
                <v:path arrowok="t" o:connecttype="custom" o:connectlocs="0,0;9996,0" o:connectangles="0,0"/>
              </v:shape>
              <w10:wrap anchorx="page" anchory="page"/>
            </v:group>
          </w:pict>
        </mc:Fallback>
      </mc:AlternateContent>
    </w:r>
    <w:r w:rsidRPr="001C62BA">
      <w:rPr>
        <w:rFonts w:ascii="Trebuchet MS" w:hAnsi="Trebuchet MS"/>
      </w:rPr>
      <w:t>NORTH LITTLE ROCK HOUSING AUTHORITY</w:t>
    </w:r>
  </w:p>
  <w:p w:rsidR="00E95DED" w:rsidRPr="001C62BA" w:rsidRDefault="00E95DED" w:rsidP="00E95DED">
    <w:pPr>
      <w:pStyle w:val="Footer"/>
      <w:jc w:val="center"/>
      <w:rPr>
        <w:rFonts w:ascii="Trebuchet MS" w:hAnsi="Trebuchet MS"/>
      </w:rPr>
    </w:pPr>
  </w:p>
  <w:p w:rsidR="00E95DED" w:rsidRPr="001C62BA" w:rsidRDefault="00E95DED" w:rsidP="00E95DED">
    <w:pPr>
      <w:pStyle w:val="Footer"/>
      <w:jc w:val="right"/>
      <w:rPr>
        <w:rFonts w:ascii="Trebuchet MS" w:hAnsi="Trebuchet MS"/>
        <w:noProof/>
        <w:sz w:val="16"/>
        <w:szCs w:val="16"/>
      </w:rPr>
    </w:pPr>
    <w:r w:rsidRPr="001C62BA">
      <w:rPr>
        <w:rFonts w:ascii="Trebuchet MS" w:hAnsi="Trebuchet MS"/>
        <w:sz w:val="16"/>
        <w:szCs w:val="16"/>
      </w:rPr>
      <w:t xml:space="preserve">Page </w:t>
    </w:r>
    <w:r w:rsidRPr="00E95DED">
      <w:rPr>
        <w:rFonts w:ascii="Trebuchet MS" w:hAnsi="Trebuchet MS"/>
        <w:sz w:val="16"/>
        <w:szCs w:val="16"/>
      </w:rPr>
      <w:fldChar w:fldCharType="begin"/>
    </w:r>
    <w:r w:rsidRPr="00E95DED">
      <w:rPr>
        <w:rFonts w:ascii="Trebuchet MS" w:hAnsi="Trebuchet MS"/>
        <w:sz w:val="16"/>
        <w:szCs w:val="16"/>
      </w:rPr>
      <w:instrText xml:space="preserve"> PAGE   \* MERGEFORMAT </w:instrText>
    </w:r>
    <w:r w:rsidRPr="00E95DED">
      <w:rPr>
        <w:rFonts w:ascii="Trebuchet MS" w:hAnsi="Trebuchet MS"/>
        <w:sz w:val="16"/>
        <w:szCs w:val="16"/>
      </w:rPr>
      <w:fldChar w:fldCharType="separate"/>
    </w:r>
    <w:r w:rsidR="001D0C28">
      <w:rPr>
        <w:rFonts w:ascii="Trebuchet MS" w:hAnsi="Trebuchet MS"/>
        <w:noProof/>
        <w:sz w:val="16"/>
        <w:szCs w:val="16"/>
      </w:rPr>
      <w:t>1</w:t>
    </w:r>
    <w:r w:rsidRPr="00E95DED">
      <w:rPr>
        <w:rFonts w:ascii="Trebuchet MS" w:hAnsi="Trebuchet MS"/>
        <w:noProof/>
        <w:sz w:val="16"/>
        <w:szCs w:val="16"/>
      </w:rPr>
      <w:fldChar w:fldCharType="end"/>
    </w:r>
  </w:p>
  <w:p w:rsidR="00E95DED" w:rsidRPr="001C62BA" w:rsidRDefault="00E95DED" w:rsidP="00E95DED">
    <w:pPr>
      <w:pStyle w:val="Footer"/>
      <w:jc w:val="right"/>
      <w:rPr>
        <w:rFonts w:ascii="Trebuchet MS" w:hAnsi="Trebuchet MS"/>
        <w:noProof/>
        <w:sz w:val="16"/>
        <w:szCs w:val="16"/>
      </w:rPr>
    </w:pPr>
    <w:r>
      <w:rPr>
        <w:rFonts w:ascii="Trebuchet MS" w:hAnsi="Trebuchet MS"/>
        <w:noProof/>
        <w:sz w:val="16"/>
        <w:szCs w:val="16"/>
      </w:rPr>
      <w:t>IFB</w:t>
    </w:r>
    <w:r w:rsidRPr="001C62BA">
      <w:rPr>
        <w:rFonts w:ascii="Trebuchet MS" w:hAnsi="Trebuchet MS"/>
        <w:noProof/>
        <w:sz w:val="16"/>
        <w:szCs w:val="16"/>
      </w:rPr>
      <w:t xml:space="preserve"> No. 1</w:t>
    </w:r>
    <w:r>
      <w:rPr>
        <w:rFonts w:ascii="Trebuchet MS" w:hAnsi="Trebuchet MS"/>
        <w:noProof/>
        <w:sz w:val="16"/>
        <w:szCs w:val="16"/>
      </w:rPr>
      <w:t>8</w:t>
    </w:r>
    <w:r w:rsidRPr="001C62BA">
      <w:rPr>
        <w:rFonts w:ascii="Trebuchet MS" w:hAnsi="Trebuchet MS"/>
        <w:noProof/>
        <w:sz w:val="16"/>
        <w:szCs w:val="16"/>
      </w:rPr>
      <w:t>-0</w:t>
    </w:r>
    <w:r>
      <w:rPr>
        <w:rFonts w:ascii="Trebuchet MS" w:hAnsi="Trebuchet MS"/>
        <w:noProof/>
        <w:sz w:val="16"/>
        <w:szCs w:val="16"/>
      </w:rPr>
      <w:t>51</w:t>
    </w:r>
    <w:r w:rsidRPr="001C62BA">
      <w:rPr>
        <w:rFonts w:ascii="Trebuchet MS" w:hAnsi="Trebuchet MS"/>
        <w:noProof/>
        <w:sz w:val="16"/>
        <w:szCs w:val="16"/>
      </w:rPr>
      <w:t>-</w:t>
    </w:r>
    <w:r>
      <w:rPr>
        <w:rFonts w:ascii="Trebuchet MS" w:hAnsi="Trebuchet MS"/>
        <w:noProof/>
        <w:sz w:val="16"/>
        <w:szCs w:val="16"/>
      </w:rPr>
      <w:t>B</w:t>
    </w:r>
  </w:p>
  <w:p w:rsidR="00E95DED" w:rsidRPr="001C62BA" w:rsidRDefault="00E95DED" w:rsidP="00E95DED">
    <w:pPr>
      <w:pStyle w:val="Footer"/>
      <w:jc w:val="right"/>
      <w:rPr>
        <w:rFonts w:ascii="Trebuchet MS" w:hAnsi="Trebuchet MS"/>
        <w:sz w:val="16"/>
        <w:szCs w:val="16"/>
      </w:rPr>
    </w:pPr>
    <w:r w:rsidRPr="001C62BA">
      <w:rPr>
        <w:rFonts w:ascii="Trebuchet MS" w:hAnsi="Trebuchet MS"/>
        <w:noProof/>
        <w:sz w:val="16"/>
        <w:szCs w:val="16"/>
      </w:rPr>
      <w:t xml:space="preserve">Addendum No. </w:t>
    </w:r>
    <w:r>
      <w:rPr>
        <w:rFonts w:ascii="Trebuchet MS" w:hAnsi="Trebuchet MS"/>
        <w:noProof/>
        <w:sz w:val="16"/>
        <w:szCs w:val="16"/>
      </w:rPr>
      <w:t>3</w:t>
    </w:r>
  </w:p>
  <w:p w:rsidR="002A2968" w:rsidRDefault="002A2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E30" w:rsidRDefault="00B57E30" w:rsidP="002A2968">
      <w:pPr>
        <w:spacing w:after="0" w:line="240" w:lineRule="auto"/>
      </w:pPr>
      <w:r>
        <w:separator/>
      </w:r>
    </w:p>
  </w:footnote>
  <w:footnote w:type="continuationSeparator" w:id="0">
    <w:p w:rsidR="00B57E30" w:rsidRDefault="00B57E30" w:rsidP="002A2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968" w:rsidRDefault="00E95DED" w:rsidP="002A2968">
    <w:pPr>
      <w:pStyle w:val="Header"/>
      <w:pBdr>
        <w:bottom w:val="single" w:sz="12" w:space="1" w:color="auto"/>
      </w:pBdr>
      <w:jc w:val="center"/>
      <w:rPr>
        <w:rFonts w:ascii="Trebuchet MS" w:hAnsi="Trebuchet MS"/>
        <w:b/>
      </w:rPr>
    </w:pPr>
    <w:r>
      <w:rPr>
        <w:rFonts w:ascii="Trebuchet MS" w:hAnsi="Trebuchet MS"/>
        <w:b/>
      </w:rPr>
      <w:t xml:space="preserve">INVITATION FOR BIDS </w:t>
    </w:r>
    <w:r w:rsidR="002A2968">
      <w:rPr>
        <w:rFonts w:ascii="Trebuchet MS" w:hAnsi="Trebuchet MS"/>
        <w:b/>
      </w:rPr>
      <w:t>(</w:t>
    </w:r>
    <w:r>
      <w:rPr>
        <w:rFonts w:ascii="Trebuchet MS" w:hAnsi="Trebuchet MS"/>
        <w:b/>
      </w:rPr>
      <w:t>IFB</w:t>
    </w:r>
    <w:r w:rsidR="002A2968">
      <w:rPr>
        <w:rFonts w:ascii="Trebuchet MS" w:hAnsi="Trebuchet MS"/>
        <w:b/>
      </w:rPr>
      <w:t xml:space="preserve">) NO. </w:t>
    </w:r>
    <w:r>
      <w:rPr>
        <w:rFonts w:ascii="Trebuchet MS" w:hAnsi="Trebuchet MS"/>
        <w:b/>
      </w:rPr>
      <w:t>18-051-B</w:t>
    </w:r>
    <w:r w:rsidR="002A2968">
      <w:rPr>
        <w:rFonts w:ascii="Trebuchet MS" w:hAnsi="Trebuchet MS"/>
        <w:b/>
      </w:rPr>
      <w:t xml:space="preserve">, </w:t>
    </w:r>
    <w:r>
      <w:rPr>
        <w:rFonts w:ascii="Trebuchet MS" w:hAnsi="Trebuchet MS"/>
        <w:b/>
      </w:rPr>
      <w:t>Temporary Employment Services</w:t>
    </w:r>
  </w:p>
  <w:p w:rsidR="002A2968" w:rsidRDefault="002A2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EE"/>
    <w:rsid w:val="00017239"/>
    <w:rsid w:val="000B3D85"/>
    <w:rsid w:val="00155794"/>
    <w:rsid w:val="00157928"/>
    <w:rsid w:val="001D0C28"/>
    <w:rsid w:val="002A2968"/>
    <w:rsid w:val="003D3536"/>
    <w:rsid w:val="0045520B"/>
    <w:rsid w:val="004E21D5"/>
    <w:rsid w:val="007473BC"/>
    <w:rsid w:val="008733EE"/>
    <w:rsid w:val="008B6583"/>
    <w:rsid w:val="00991DD7"/>
    <w:rsid w:val="00B231A4"/>
    <w:rsid w:val="00B57E30"/>
    <w:rsid w:val="00B64D2E"/>
    <w:rsid w:val="00D94A5F"/>
    <w:rsid w:val="00E9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2968"/>
    <w:pPr>
      <w:tabs>
        <w:tab w:val="center" w:pos="4680"/>
        <w:tab w:val="right" w:pos="9360"/>
      </w:tabs>
      <w:spacing w:after="0" w:line="240" w:lineRule="auto"/>
    </w:pPr>
  </w:style>
  <w:style w:type="character" w:customStyle="1" w:styleId="HeaderChar">
    <w:name w:val="Header Char"/>
    <w:basedOn w:val="DefaultParagraphFont"/>
    <w:link w:val="Header"/>
    <w:rsid w:val="002A2968"/>
  </w:style>
  <w:style w:type="paragraph" w:styleId="Footer">
    <w:name w:val="footer"/>
    <w:basedOn w:val="Normal"/>
    <w:link w:val="FooterChar"/>
    <w:unhideWhenUsed/>
    <w:rsid w:val="002A2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2968"/>
    <w:pPr>
      <w:tabs>
        <w:tab w:val="center" w:pos="4680"/>
        <w:tab w:val="right" w:pos="9360"/>
      </w:tabs>
      <w:spacing w:after="0" w:line="240" w:lineRule="auto"/>
    </w:pPr>
  </w:style>
  <w:style w:type="character" w:customStyle="1" w:styleId="HeaderChar">
    <w:name w:val="Header Char"/>
    <w:basedOn w:val="DefaultParagraphFont"/>
    <w:link w:val="Header"/>
    <w:rsid w:val="002A2968"/>
  </w:style>
  <w:style w:type="paragraph" w:styleId="Footer">
    <w:name w:val="footer"/>
    <w:basedOn w:val="Normal"/>
    <w:link w:val="FooterChar"/>
    <w:unhideWhenUsed/>
    <w:rsid w:val="002A2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41F1B-82E4-44CC-B240-24F4B5BB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Yulunda White</dc:creator>
  <cp:lastModifiedBy>Yulunda White</cp:lastModifiedBy>
  <cp:revision>3</cp:revision>
  <cp:lastPrinted>2018-10-01T16:31:00Z</cp:lastPrinted>
  <dcterms:created xsi:type="dcterms:W3CDTF">2018-10-01T22:19:00Z</dcterms:created>
  <dcterms:modified xsi:type="dcterms:W3CDTF">2018-10-01T22:22:00Z</dcterms:modified>
</cp:coreProperties>
</file>